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682A6">
      <w:pPr>
        <w:widowControl/>
        <w:spacing w:line="360" w:lineRule="auto"/>
        <w:contextualSpacing/>
        <w:jc w:val="left"/>
        <w:rPr>
          <w:rFonts w:cs="宋体" w:asciiTheme="minorEastAsia" w:hAnsiTheme="minorEastAsia"/>
          <w:kern w:val="0"/>
          <w:sz w:val="24"/>
          <w:szCs w:val="24"/>
        </w:rPr>
      </w:pPr>
      <w:r>
        <w:rPr>
          <w:rFonts w:hint="eastAsia" w:asciiTheme="minorEastAsia" w:hAnsiTheme="minorEastAsia"/>
          <w:sz w:val="24"/>
          <w:szCs w:val="24"/>
        </w:rPr>
        <w:t xml:space="preserve">           </w:t>
      </w:r>
      <w:r>
        <w:rPr>
          <w:rFonts w:asciiTheme="minorEastAsia" w:hAnsiTheme="minorEastAsia"/>
          <w:sz w:val="24"/>
          <w:szCs w:val="24"/>
        </w:rPr>
        <w:drawing>
          <wp:inline distT="0" distB="0" distL="114300" distR="114300">
            <wp:extent cx="3536950" cy="1296670"/>
            <wp:effectExtent l="19050" t="0" r="583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cstate="print"/>
                    <a:stretch>
                      <a:fillRect/>
                    </a:stretch>
                  </pic:blipFill>
                  <pic:spPr>
                    <a:xfrm>
                      <a:off x="0" y="0"/>
                      <a:ext cx="3541825" cy="1298771"/>
                    </a:xfrm>
                    <a:prstGeom prst="rect">
                      <a:avLst/>
                    </a:prstGeom>
                    <a:noFill/>
                    <a:ln w="9525">
                      <a:noFill/>
                    </a:ln>
                  </pic:spPr>
                </pic:pic>
              </a:graphicData>
            </a:graphic>
          </wp:inline>
        </w:drawing>
      </w:r>
    </w:p>
    <w:p w14:paraId="65466B86">
      <w:pPr>
        <w:spacing w:line="360" w:lineRule="auto"/>
        <w:ind w:firstLine="2891" w:firstLineChars="800"/>
        <w:contextualSpacing/>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山东大学经济研究院</w:t>
      </w:r>
    </w:p>
    <w:p w14:paraId="79640788">
      <w:pPr>
        <w:spacing w:line="360" w:lineRule="auto"/>
        <w:ind w:firstLine="1084" w:firstLineChars="300"/>
        <w:contextualSpacing/>
        <w:jc w:val="left"/>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同等学力申请经济学硕士学位招生简章</w:t>
      </w:r>
    </w:p>
    <w:p w14:paraId="4BADBBF3">
      <w:pPr>
        <w:spacing w:line="360" w:lineRule="auto"/>
        <w:ind w:firstLine="480" w:firstLineChars="200"/>
        <w:contextualSpacing/>
        <w:jc w:val="left"/>
        <w:rPr>
          <w:rFonts w:asciiTheme="minorEastAsia" w:hAnsiTheme="minorEastAsia"/>
          <w:sz w:val="24"/>
          <w:szCs w:val="24"/>
        </w:rPr>
      </w:pPr>
    </w:p>
    <w:p w14:paraId="0D4E671B">
      <w:pPr>
        <w:numPr>
          <w:ilvl w:val="0"/>
          <w:numId w:val="1"/>
        </w:numPr>
        <w:rPr>
          <w:rFonts w:asciiTheme="minorEastAsia" w:hAnsiTheme="minorEastAsia"/>
          <w:b/>
          <w:bCs/>
          <w:sz w:val="24"/>
          <w:szCs w:val="24"/>
        </w:rPr>
      </w:pPr>
      <w:r>
        <w:rPr>
          <w:rFonts w:hint="eastAsia" w:asciiTheme="minorEastAsia" w:hAnsiTheme="minorEastAsia"/>
          <w:b/>
          <w:bCs/>
          <w:sz w:val="24"/>
          <w:szCs w:val="24"/>
        </w:rPr>
        <w:t>院校简介：</w:t>
      </w:r>
    </w:p>
    <w:p w14:paraId="4B55BA48">
      <w:pPr>
        <w:rPr>
          <w:rFonts w:asciiTheme="minorEastAsia" w:hAnsiTheme="minorEastAsia"/>
          <w:b/>
          <w:bCs/>
          <w:sz w:val="24"/>
          <w:szCs w:val="24"/>
        </w:rPr>
      </w:pPr>
    </w:p>
    <w:p w14:paraId="292EB234">
      <w:pPr>
        <w:spacing w:line="360" w:lineRule="auto"/>
        <w:ind w:firstLine="480" w:firstLineChars="200"/>
        <w:jc w:val="left"/>
        <w:rPr>
          <w:sz w:val="24"/>
          <w:szCs w:val="24"/>
        </w:rPr>
      </w:pPr>
      <w:r>
        <w:rPr>
          <w:rFonts w:hint="eastAsia"/>
          <w:sz w:val="24"/>
          <w:szCs w:val="24"/>
        </w:rPr>
        <w:t>山东大学是一所历史悠久、学科齐全、学术实力雄厚、办学特色鲜明、在国内外具有重要影响的教育部直属全国重点综合性大学，是国家“211工程”和“985工程”重点建设的高水平大学之一，是中国近代高等教育的起源性大学，其医学学科起源于1864年，开启近代中国高等医学教育之先河。山东大学秉承“为天下储人才，为国家图富强”的办学宗旨，践行“学无止境，气有浩然”的校训，踔厉奋发，薪火相传，形成了“崇实求新”的校风，为国家和社会培养了60余万各类人才，为国家和区域经济社会发展做出了重要贡献。</w:t>
      </w:r>
    </w:p>
    <w:p w14:paraId="61FD6643">
      <w:pPr>
        <w:spacing w:line="360" w:lineRule="auto"/>
        <w:ind w:firstLine="480" w:firstLineChars="200"/>
        <w:jc w:val="left"/>
        <w:rPr>
          <w:sz w:val="24"/>
          <w:szCs w:val="24"/>
        </w:rPr>
      </w:pPr>
      <w:r>
        <w:rPr>
          <w:rFonts w:hint="eastAsia"/>
          <w:sz w:val="24"/>
          <w:szCs w:val="24"/>
        </w:rPr>
        <w:t>经济研究院组建于2001年，前身是1996年成立的山东大学产权研究所，教育部长江学者特聘教授黄少安任院长，师资力量雄厚。是直属山东大学的人才培养和科研机构，在制度经济学、法经济学、数理经济学、计量经济学、一般均衡理论、金融经济学与金融工程、劳动经济学、农业经济学、经济增长理论、保险精算、语言经济学和演化经济学等领域的研究取得长足的发展，其中一些领域的研究已经处于全国前列，部分处于领先地位。现山东经济研究院开设金融学、国际贸易学、政治经济学、西方经济学四个专业同等学力申请硕士学位招生培训班。</w:t>
      </w:r>
    </w:p>
    <w:p w14:paraId="694E5188">
      <w:pPr>
        <w:spacing w:line="360" w:lineRule="auto"/>
        <w:jc w:val="left"/>
        <w:rPr>
          <w:rFonts w:asciiTheme="minorEastAsia" w:hAnsiTheme="minorEastAsia"/>
          <w:b/>
          <w:bCs/>
          <w:sz w:val="24"/>
          <w:szCs w:val="24"/>
        </w:rPr>
      </w:pPr>
    </w:p>
    <w:p w14:paraId="55BA84A7">
      <w:pPr>
        <w:numPr>
          <w:ilvl w:val="0"/>
          <w:numId w:val="1"/>
        </w:numPr>
        <w:spacing w:line="360" w:lineRule="auto"/>
        <w:jc w:val="left"/>
        <w:rPr>
          <w:rFonts w:asciiTheme="minorEastAsia" w:hAnsiTheme="minorEastAsia"/>
          <w:b/>
          <w:bCs/>
          <w:sz w:val="24"/>
          <w:szCs w:val="24"/>
        </w:rPr>
      </w:pPr>
      <w:r>
        <w:rPr>
          <w:rFonts w:hint="eastAsia" w:asciiTheme="minorEastAsia" w:hAnsiTheme="minorEastAsia"/>
          <w:b/>
          <w:bCs/>
          <w:sz w:val="24"/>
          <w:szCs w:val="24"/>
        </w:rPr>
        <w:t>培养目标：</w:t>
      </w:r>
    </w:p>
    <w:p w14:paraId="649DF5B2">
      <w:pPr>
        <w:spacing w:line="360" w:lineRule="auto"/>
        <w:ind w:firstLine="481"/>
        <w:jc w:val="left"/>
        <w:rPr>
          <w:sz w:val="24"/>
          <w:szCs w:val="24"/>
        </w:rPr>
      </w:pPr>
      <w:r>
        <w:rPr>
          <w:rFonts w:hint="eastAsia" w:asciiTheme="minorEastAsia" w:hAnsiTheme="minorEastAsia"/>
          <w:sz w:val="24"/>
          <w:szCs w:val="24"/>
        </w:rPr>
        <w:t>山东经济研究院通过招生</w:t>
      </w:r>
      <w:r>
        <w:rPr>
          <w:rFonts w:hint="eastAsia"/>
          <w:sz w:val="24"/>
          <w:szCs w:val="24"/>
        </w:rPr>
        <w:t>金融学、国际贸易学、政治经济学、西方经济学四个专业同等学力申请硕士学位，培养具有良好政治思想和道德素质，具有扎实的经济学、金融学、政治学等理论基础知识，具备严谨的实事求是科学的态度和创新意识，能适应国家政府部门、金融机构、银行部门、企事业单位、研究教学机构等从事管理和教学科研工作的高层次专门人才。</w:t>
      </w:r>
    </w:p>
    <w:p w14:paraId="7661069C">
      <w:pPr>
        <w:spacing w:line="360" w:lineRule="auto"/>
        <w:ind w:firstLine="481"/>
        <w:jc w:val="left"/>
        <w:rPr>
          <w:sz w:val="24"/>
          <w:szCs w:val="24"/>
        </w:rPr>
      </w:pPr>
    </w:p>
    <w:p w14:paraId="2BB26C7C">
      <w:pPr>
        <w:numPr>
          <w:ilvl w:val="0"/>
          <w:numId w:val="1"/>
        </w:numPr>
        <w:rPr>
          <w:rFonts w:asciiTheme="minorEastAsia" w:hAnsiTheme="minorEastAsia"/>
          <w:b/>
          <w:bCs/>
          <w:sz w:val="24"/>
          <w:szCs w:val="24"/>
        </w:rPr>
      </w:pPr>
      <w:r>
        <w:rPr>
          <w:rFonts w:hint="eastAsia" w:asciiTheme="minorEastAsia" w:hAnsiTheme="minorEastAsia"/>
          <w:b/>
          <w:bCs/>
          <w:sz w:val="24"/>
          <w:szCs w:val="24"/>
        </w:rPr>
        <w:t>培养优势：</w:t>
      </w:r>
    </w:p>
    <w:p w14:paraId="60C58843">
      <w:pPr>
        <w:widowControl/>
        <w:spacing w:line="360" w:lineRule="auto"/>
        <w:ind w:firstLine="480" w:firstLineChars="200"/>
        <w:jc w:val="left"/>
        <w:rPr>
          <w:sz w:val="24"/>
          <w:szCs w:val="24"/>
        </w:rPr>
      </w:pPr>
      <w:r>
        <w:rPr>
          <w:rFonts w:hint="eastAsia"/>
          <w:sz w:val="24"/>
          <w:szCs w:val="24"/>
        </w:rPr>
        <w:t>1、免试入学：本科</w:t>
      </w:r>
      <w:r>
        <w:rPr>
          <w:rFonts w:hint="eastAsia" w:asciiTheme="minorEastAsia" w:hAnsiTheme="minorEastAsia"/>
          <w:sz w:val="24"/>
          <w:szCs w:val="24"/>
        </w:rPr>
        <w:t>获得学士学位并在获得学士学位后三年以上在职人员，或者虽无学士学位但已获得硕士或博士学位即可报名参加，先学习再考试，有足够充分的准备和学习课程的时间；</w:t>
      </w:r>
    </w:p>
    <w:p w14:paraId="0C58BE96">
      <w:pPr>
        <w:spacing w:line="360" w:lineRule="auto"/>
        <w:ind w:firstLine="480" w:firstLineChars="200"/>
        <w:jc w:val="left"/>
        <w:rPr>
          <w:sz w:val="24"/>
          <w:szCs w:val="24"/>
        </w:rPr>
      </w:pPr>
      <w:r>
        <w:rPr>
          <w:rFonts w:hint="eastAsia"/>
          <w:sz w:val="24"/>
          <w:szCs w:val="24"/>
        </w:rPr>
        <w:t>2、专业优势：经济研究院利用后发优势，积极实施“升位、错位、占位”的学科发展战略，立足自身学科特色和传统优势，走差异化、特色化、高端化和国际化的学科发展道路；</w:t>
      </w:r>
    </w:p>
    <w:p w14:paraId="46B4F286">
      <w:pPr>
        <w:spacing w:line="360" w:lineRule="auto"/>
        <w:ind w:firstLine="480" w:firstLineChars="200"/>
        <w:jc w:val="left"/>
        <w:rPr>
          <w:sz w:val="24"/>
          <w:szCs w:val="24"/>
        </w:rPr>
      </w:pPr>
      <w:r>
        <w:rPr>
          <w:rFonts w:hint="eastAsia"/>
          <w:sz w:val="24"/>
          <w:szCs w:val="24"/>
        </w:rPr>
        <w:t>3、师资优势：研究院师资雄厚，有山东大学知名硕导、博导亲临授课，部分师资直接参与国家经济、金融、法律、人事等政府相关决策部门的政策制定，能为学员提供具有前瞻性的理论与实践指导；</w:t>
      </w:r>
    </w:p>
    <w:p w14:paraId="57B15972">
      <w:pPr>
        <w:spacing w:line="360" w:lineRule="auto"/>
        <w:ind w:firstLine="480" w:firstLineChars="200"/>
        <w:jc w:val="left"/>
        <w:rPr>
          <w:sz w:val="24"/>
          <w:szCs w:val="24"/>
        </w:rPr>
      </w:pPr>
      <w:r>
        <w:rPr>
          <w:rFonts w:hint="eastAsia"/>
          <w:sz w:val="24"/>
          <w:szCs w:val="24"/>
        </w:rPr>
        <w:t>4、人脉优势：学校注重中外合作交流，学习期间学员可以不定期地免费参加拓展训练，并参加举办校友聚会、主题沙龙等，致力于打造和谐、紧密的山大经济研究院校友圈和社会知名人脉建立联系；</w:t>
      </w:r>
    </w:p>
    <w:p w14:paraId="769CD2BB">
      <w:pPr>
        <w:spacing w:line="360" w:lineRule="auto"/>
        <w:ind w:firstLine="480" w:firstLineChars="200"/>
        <w:jc w:val="left"/>
        <w:rPr>
          <w:sz w:val="24"/>
          <w:szCs w:val="24"/>
        </w:rPr>
      </w:pPr>
      <w:r>
        <w:rPr>
          <w:rFonts w:hint="eastAsia"/>
          <w:sz w:val="24"/>
          <w:szCs w:val="24"/>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3688CF79">
      <w:pPr>
        <w:spacing w:line="360" w:lineRule="auto"/>
        <w:jc w:val="left"/>
        <w:rPr>
          <w:rFonts w:asciiTheme="minorEastAsia" w:hAnsiTheme="minorEastAsia"/>
          <w:b/>
          <w:bCs/>
          <w:sz w:val="24"/>
          <w:szCs w:val="24"/>
        </w:rPr>
      </w:pPr>
    </w:p>
    <w:p w14:paraId="3D7AA5D8">
      <w:pPr>
        <w:numPr>
          <w:ilvl w:val="0"/>
          <w:numId w:val="1"/>
        </w:numPr>
        <w:spacing w:line="360" w:lineRule="auto"/>
        <w:contextualSpacing/>
        <w:jc w:val="left"/>
        <w:rPr>
          <w:rFonts w:asciiTheme="minorEastAsia" w:hAnsiTheme="minorEastAsia"/>
          <w:b/>
          <w:bCs/>
          <w:sz w:val="24"/>
          <w:szCs w:val="24"/>
        </w:rPr>
      </w:pPr>
      <w:r>
        <w:rPr>
          <w:rFonts w:hint="eastAsia" w:asciiTheme="minorEastAsia" w:hAnsiTheme="minorEastAsia"/>
          <w:b/>
          <w:bCs/>
          <w:sz w:val="24"/>
          <w:szCs w:val="24"/>
        </w:rPr>
        <w:t>课程设置和硕士学位专业研究方向目录：</w:t>
      </w:r>
    </w:p>
    <w:p w14:paraId="5F666F45">
      <w:pPr>
        <w:spacing w:line="360" w:lineRule="auto"/>
        <w:contextualSpacing/>
        <w:jc w:val="left"/>
        <w:rPr>
          <w:rFonts w:asciiTheme="minorEastAsia" w:hAnsiTheme="minorEastAsia"/>
          <w:b/>
          <w:bCs/>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402"/>
        <w:gridCol w:w="3169"/>
      </w:tblGrid>
      <w:tr w14:paraId="4A41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522" w:type="dxa"/>
            <w:gridSpan w:val="3"/>
          </w:tcPr>
          <w:p w14:paraId="7235BB6D">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经济学科专业课程设置</w:t>
            </w:r>
          </w:p>
        </w:tc>
      </w:tr>
      <w:tr w14:paraId="31E2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53A9DF56">
            <w:pPr>
              <w:spacing w:line="360" w:lineRule="auto"/>
              <w:contextualSpacing/>
              <w:jc w:val="left"/>
              <w:rPr>
                <w:rFonts w:asciiTheme="minorEastAsia" w:hAnsiTheme="minorEastAsia"/>
                <w:sz w:val="24"/>
                <w:szCs w:val="24"/>
              </w:rPr>
            </w:pPr>
          </w:p>
          <w:p w14:paraId="29C078CC">
            <w:pPr>
              <w:spacing w:line="360" w:lineRule="auto"/>
              <w:contextualSpacing/>
              <w:jc w:val="left"/>
              <w:rPr>
                <w:rFonts w:asciiTheme="minorEastAsia" w:hAnsiTheme="minorEastAsia"/>
                <w:sz w:val="24"/>
                <w:szCs w:val="24"/>
              </w:rPr>
            </w:pPr>
          </w:p>
          <w:p w14:paraId="57B80435">
            <w:pPr>
              <w:spacing w:line="360" w:lineRule="auto"/>
              <w:ind w:firstLine="240" w:firstLineChars="100"/>
              <w:contextualSpacing/>
              <w:jc w:val="left"/>
              <w:rPr>
                <w:rFonts w:asciiTheme="minorEastAsia" w:hAnsiTheme="minorEastAsia"/>
                <w:sz w:val="24"/>
                <w:szCs w:val="24"/>
              </w:rPr>
            </w:pPr>
            <w:r>
              <w:rPr>
                <w:rFonts w:hint="eastAsia" w:asciiTheme="minorEastAsia" w:hAnsiTheme="minorEastAsia"/>
                <w:sz w:val="24"/>
                <w:szCs w:val="24"/>
              </w:rPr>
              <w:t>必修课程</w:t>
            </w:r>
          </w:p>
        </w:tc>
        <w:tc>
          <w:tcPr>
            <w:tcW w:w="3402" w:type="dxa"/>
          </w:tcPr>
          <w:p w14:paraId="0DF0C7D6">
            <w:pPr>
              <w:spacing w:line="360" w:lineRule="auto"/>
              <w:contextualSpacing/>
              <w:jc w:val="left"/>
              <w:rPr>
                <w:rFonts w:asciiTheme="minorEastAsia" w:hAnsiTheme="minorEastAsia"/>
                <w:sz w:val="24"/>
                <w:szCs w:val="24"/>
              </w:rPr>
            </w:pPr>
            <w:r>
              <w:rPr>
                <w:rFonts w:hint="eastAsia" w:asciiTheme="minorEastAsia" w:hAnsiTheme="minorEastAsia"/>
                <w:sz w:val="24"/>
                <w:szCs w:val="24"/>
              </w:rPr>
              <w:t>中高级微观经济学</w:t>
            </w:r>
          </w:p>
        </w:tc>
        <w:tc>
          <w:tcPr>
            <w:tcW w:w="3169" w:type="dxa"/>
          </w:tcPr>
          <w:p w14:paraId="01F06925">
            <w:pPr>
              <w:spacing w:line="360" w:lineRule="auto"/>
              <w:contextualSpacing/>
              <w:jc w:val="left"/>
              <w:rPr>
                <w:rFonts w:asciiTheme="minorEastAsia" w:hAnsiTheme="minorEastAsia"/>
                <w:sz w:val="24"/>
                <w:szCs w:val="24"/>
              </w:rPr>
            </w:pPr>
            <w:r>
              <w:rPr>
                <w:rFonts w:hint="eastAsia" w:asciiTheme="minorEastAsia" w:hAnsiTheme="minorEastAsia"/>
                <w:sz w:val="24"/>
                <w:szCs w:val="24"/>
              </w:rPr>
              <w:t>中高级宏观经济学</w:t>
            </w:r>
          </w:p>
        </w:tc>
      </w:tr>
      <w:tr w14:paraId="7D93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12CFE0E1">
            <w:pPr>
              <w:spacing w:line="360" w:lineRule="auto"/>
              <w:contextualSpacing/>
              <w:jc w:val="left"/>
              <w:rPr>
                <w:rFonts w:asciiTheme="minorEastAsia" w:hAnsiTheme="minorEastAsia"/>
                <w:sz w:val="24"/>
                <w:szCs w:val="24"/>
              </w:rPr>
            </w:pPr>
          </w:p>
        </w:tc>
        <w:tc>
          <w:tcPr>
            <w:tcW w:w="3402" w:type="dxa"/>
          </w:tcPr>
          <w:p w14:paraId="2CA6247B">
            <w:pPr>
              <w:spacing w:line="360" w:lineRule="auto"/>
              <w:contextualSpacing/>
              <w:jc w:val="left"/>
              <w:rPr>
                <w:rFonts w:asciiTheme="minorEastAsia" w:hAnsiTheme="minorEastAsia"/>
                <w:sz w:val="24"/>
                <w:szCs w:val="24"/>
              </w:rPr>
            </w:pPr>
            <w:r>
              <w:rPr>
                <w:rFonts w:hint="eastAsia" w:asciiTheme="minorEastAsia" w:hAnsiTheme="minorEastAsia"/>
                <w:sz w:val="24"/>
                <w:szCs w:val="24"/>
              </w:rPr>
              <w:t>计量经济学</w:t>
            </w:r>
          </w:p>
        </w:tc>
        <w:tc>
          <w:tcPr>
            <w:tcW w:w="3169" w:type="dxa"/>
          </w:tcPr>
          <w:p w14:paraId="621C4FC1">
            <w:pPr>
              <w:spacing w:line="360" w:lineRule="auto"/>
              <w:contextualSpacing/>
              <w:jc w:val="left"/>
              <w:rPr>
                <w:rFonts w:asciiTheme="minorEastAsia" w:hAnsiTheme="minorEastAsia"/>
                <w:sz w:val="24"/>
                <w:szCs w:val="24"/>
              </w:rPr>
            </w:pPr>
            <w:r>
              <w:rPr>
                <w:rFonts w:hint="eastAsia" w:asciiTheme="minorEastAsia" w:hAnsiTheme="minorEastAsia"/>
                <w:sz w:val="24"/>
                <w:szCs w:val="24"/>
              </w:rPr>
              <w:t>金融经济学</w:t>
            </w:r>
          </w:p>
        </w:tc>
      </w:tr>
      <w:tr w14:paraId="5E3F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ED82F8A">
            <w:pPr>
              <w:spacing w:line="360" w:lineRule="auto"/>
              <w:contextualSpacing/>
              <w:jc w:val="left"/>
              <w:rPr>
                <w:rFonts w:asciiTheme="minorEastAsia" w:hAnsiTheme="minorEastAsia"/>
                <w:sz w:val="24"/>
                <w:szCs w:val="24"/>
              </w:rPr>
            </w:pPr>
          </w:p>
        </w:tc>
        <w:tc>
          <w:tcPr>
            <w:tcW w:w="3402" w:type="dxa"/>
          </w:tcPr>
          <w:p w14:paraId="508C6876">
            <w:pPr>
              <w:spacing w:line="360" w:lineRule="auto"/>
              <w:contextualSpacing/>
              <w:jc w:val="left"/>
              <w:rPr>
                <w:rFonts w:asciiTheme="minorEastAsia" w:hAnsiTheme="minorEastAsia"/>
                <w:sz w:val="24"/>
                <w:szCs w:val="24"/>
              </w:rPr>
            </w:pPr>
            <w:r>
              <w:rPr>
                <w:rFonts w:hint="eastAsia" w:asciiTheme="minorEastAsia" w:hAnsiTheme="minorEastAsia"/>
                <w:sz w:val="24"/>
                <w:szCs w:val="24"/>
              </w:rPr>
              <w:t>制度经济学</w:t>
            </w:r>
          </w:p>
        </w:tc>
        <w:tc>
          <w:tcPr>
            <w:tcW w:w="3169" w:type="dxa"/>
          </w:tcPr>
          <w:p w14:paraId="197920EB">
            <w:pPr>
              <w:spacing w:line="360" w:lineRule="auto"/>
              <w:contextualSpacing/>
              <w:jc w:val="left"/>
              <w:rPr>
                <w:rFonts w:asciiTheme="minorEastAsia" w:hAnsiTheme="minorEastAsia"/>
                <w:sz w:val="24"/>
                <w:szCs w:val="24"/>
              </w:rPr>
            </w:pPr>
            <w:r>
              <w:rPr>
                <w:rFonts w:hint="eastAsia" w:asciiTheme="minorEastAsia" w:hAnsiTheme="minorEastAsia"/>
                <w:sz w:val="24"/>
                <w:szCs w:val="24"/>
              </w:rPr>
              <w:t>博弈论与信息经济学</w:t>
            </w:r>
          </w:p>
        </w:tc>
      </w:tr>
      <w:tr w14:paraId="2555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6699D5D6">
            <w:pPr>
              <w:spacing w:line="360" w:lineRule="auto"/>
              <w:contextualSpacing/>
              <w:jc w:val="left"/>
              <w:rPr>
                <w:rFonts w:asciiTheme="minorEastAsia" w:hAnsiTheme="minorEastAsia"/>
                <w:sz w:val="24"/>
                <w:szCs w:val="24"/>
              </w:rPr>
            </w:pPr>
          </w:p>
        </w:tc>
        <w:tc>
          <w:tcPr>
            <w:tcW w:w="3402" w:type="dxa"/>
          </w:tcPr>
          <w:p w14:paraId="1DC4CC3D">
            <w:pPr>
              <w:spacing w:line="360" w:lineRule="auto"/>
              <w:contextualSpacing/>
              <w:jc w:val="left"/>
              <w:rPr>
                <w:rFonts w:asciiTheme="minorEastAsia" w:hAnsiTheme="minorEastAsia"/>
                <w:sz w:val="24"/>
                <w:szCs w:val="24"/>
              </w:rPr>
            </w:pPr>
            <w:r>
              <w:rPr>
                <w:rFonts w:hint="eastAsia" w:asciiTheme="minorEastAsia" w:hAnsiTheme="minorEastAsia"/>
                <w:sz w:val="24"/>
                <w:szCs w:val="24"/>
              </w:rPr>
              <w:t>经济学方法论</w:t>
            </w:r>
          </w:p>
        </w:tc>
        <w:tc>
          <w:tcPr>
            <w:tcW w:w="3169" w:type="dxa"/>
          </w:tcPr>
          <w:p w14:paraId="542A556B">
            <w:pPr>
              <w:spacing w:line="360" w:lineRule="auto"/>
              <w:contextualSpacing/>
              <w:jc w:val="left"/>
              <w:rPr>
                <w:rFonts w:asciiTheme="minorEastAsia" w:hAnsiTheme="minorEastAsia"/>
                <w:sz w:val="24"/>
                <w:szCs w:val="24"/>
              </w:rPr>
            </w:pPr>
            <w:r>
              <w:rPr>
                <w:rFonts w:hint="eastAsia" w:asciiTheme="minorEastAsia" w:hAnsiTheme="minorEastAsia"/>
                <w:sz w:val="24"/>
                <w:szCs w:val="24"/>
              </w:rPr>
              <w:t>政治经济学</w:t>
            </w:r>
          </w:p>
        </w:tc>
      </w:tr>
    </w:tbl>
    <w:p w14:paraId="45519447">
      <w:pPr>
        <w:spacing w:line="360" w:lineRule="auto"/>
        <w:contextualSpacing/>
        <w:jc w:val="left"/>
        <w:rPr>
          <w:rFonts w:asciiTheme="minorEastAsia" w:hAnsiTheme="minorEastAsia"/>
          <w:sz w:val="24"/>
          <w:szCs w:val="24"/>
        </w:rPr>
      </w:pPr>
    </w:p>
    <w:p w14:paraId="284D5905">
      <w:pPr>
        <w:spacing w:line="360" w:lineRule="auto"/>
        <w:ind w:firstLine="2640" w:firstLineChars="1100"/>
        <w:contextualSpacing/>
        <w:jc w:val="left"/>
        <w:rPr>
          <w:rFonts w:asciiTheme="minorEastAsia" w:hAnsiTheme="minorEastAsia"/>
          <w:sz w:val="24"/>
          <w:szCs w:val="24"/>
        </w:rPr>
      </w:pPr>
      <w:r>
        <w:rPr>
          <w:rFonts w:hint="eastAsia" w:asciiTheme="minorEastAsia" w:hAnsiTheme="minorEastAsia"/>
          <w:sz w:val="24"/>
          <w:szCs w:val="24"/>
        </w:rPr>
        <w:t>注：专业及方向课程参照实际教学</w:t>
      </w:r>
    </w:p>
    <w:p w14:paraId="2B261678">
      <w:pPr>
        <w:spacing w:line="360" w:lineRule="auto"/>
        <w:contextualSpacing/>
        <w:jc w:val="left"/>
        <w:rPr>
          <w:rFonts w:asciiTheme="minorEastAsia" w:hAnsiTheme="minorEastAsia"/>
          <w:sz w:val="24"/>
          <w:szCs w:val="24"/>
        </w:rPr>
      </w:pPr>
    </w:p>
    <w:tbl>
      <w:tblPr>
        <w:tblStyle w:val="5"/>
        <w:tblW w:w="8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015"/>
        <w:gridCol w:w="3402"/>
        <w:gridCol w:w="862"/>
        <w:gridCol w:w="1260"/>
        <w:gridCol w:w="1260"/>
      </w:tblGrid>
      <w:tr w14:paraId="7FCB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08" w:hRule="atLeast"/>
        </w:trPr>
        <w:tc>
          <w:tcPr>
            <w:tcW w:w="20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9CDEDA">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专业代码及名称</w:t>
            </w:r>
          </w:p>
        </w:tc>
        <w:tc>
          <w:tcPr>
            <w:tcW w:w="34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E1A939">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研 究 方 向</w:t>
            </w:r>
          </w:p>
        </w:tc>
        <w:tc>
          <w:tcPr>
            <w:tcW w:w="8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692A6E">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总学分</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F2E5EA">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全国统考科目</w:t>
            </w:r>
          </w:p>
        </w:tc>
      </w:tr>
      <w:tr w14:paraId="6B7C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35" w:hRule="atLeast"/>
        </w:trPr>
        <w:tc>
          <w:tcPr>
            <w:tcW w:w="2015" w:type="dxa"/>
            <w:vMerge w:val="continue"/>
            <w:tcBorders>
              <w:top w:val="single" w:color="auto" w:sz="4" w:space="0"/>
              <w:left w:val="single" w:color="auto" w:sz="4" w:space="0"/>
              <w:bottom w:val="single" w:color="auto" w:sz="4" w:space="0"/>
              <w:right w:val="single" w:color="auto" w:sz="4" w:space="0"/>
            </w:tcBorders>
            <w:vAlign w:val="center"/>
          </w:tcPr>
          <w:p w14:paraId="2552CC94">
            <w:pPr>
              <w:widowControl/>
              <w:spacing w:line="360" w:lineRule="auto"/>
              <w:contextualSpacing/>
              <w:jc w:val="left"/>
              <w:rPr>
                <w:rFonts w:cs="宋体" w:asciiTheme="minorEastAsia" w:hAnsiTheme="minorEastAsia"/>
                <w:kern w:val="0"/>
                <w:sz w:val="24"/>
                <w:szCs w:val="24"/>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12663DB3">
            <w:pPr>
              <w:widowControl/>
              <w:spacing w:line="360" w:lineRule="auto"/>
              <w:contextualSpacing/>
              <w:jc w:val="left"/>
              <w:rPr>
                <w:rFonts w:cs="宋体" w:asciiTheme="minorEastAsia" w:hAnsiTheme="minorEastAsia"/>
                <w:kern w:val="0"/>
                <w:sz w:val="24"/>
                <w:szCs w:val="24"/>
              </w:rPr>
            </w:pPr>
          </w:p>
        </w:tc>
        <w:tc>
          <w:tcPr>
            <w:tcW w:w="862" w:type="dxa"/>
            <w:vMerge w:val="continue"/>
            <w:tcBorders>
              <w:top w:val="single" w:color="auto" w:sz="4" w:space="0"/>
              <w:left w:val="single" w:color="auto" w:sz="4" w:space="0"/>
              <w:bottom w:val="single" w:color="auto" w:sz="4" w:space="0"/>
              <w:right w:val="single" w:color="auto" w:sz="4" w:space="0"/>
            </w:tcBorders>
            <w:vAlign w:val="center"/>
          </w:tcPr>
          <w:p w14:paraId="51F369B0">
            <w:pPr>
              <w:widowControl/>
              <w:spacing w:line="360" w:lineRule="auto"/>
              <w:contextualSpacing/>
              <w:jc w:val="left"/>
              <w:rPr>
                <w:rFonts w:cs="宋体" w:asciiTheme="minorEastAsia" w:hAnsiTheme="minorEastAsia"/>
                <w:kern w:val="0"/>
                <w:sz w:val="24"/>
                <w:szCs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B021D29">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应试语种</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41238D7">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学科综合</w:t>
            </w:r>
          </w:p>
        </w:tc>
      </w:tr>
      <w:tr w14:paraId="1E35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64" w:hRule="atLeast"/>
        </w:trPr>
        <w:tc>
          <w:tcPr>
            <w:tcW w:w="2015" w:type="dxa"/>
            <w:tcBorders>
              <w:top w:val="single" w:color="auto" w:sz="4" w:space="0"/>
              <w:left w:val="single" w:color="auto" w:sz="4" w:space="0"/>
              <w:bottom w:val="single" w:color="auto" w:sz="4" w:space="0"/>
              <w:right w:val="single" w:color="auto" w:sz="4" w:space="0"/>
            </w:tcBorders>
            <w:shd w:val="clear" w:color="auto" w:fill="auto"/>
            <w:vAlign w:val="center"/>
          </w:tcPr>
          <w:p w14:paraId="4FA2ABB2">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020101</w:t>
            </w:r>
          </w:p>
          <w:p w14:paraId="0C0E3456">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政治经济学</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7AF4C9D0">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①产权理论与产权制度改革</w:t>
            </w:r>
          </w:p>
          <w:p w14:paraId="073498E1">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②企业理论研究</w:t>
            </w:r>
          </w:p>
          <w:p w14:paraId="314B4080">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③人力资本与发展经济学</w:t>
            </w:r>
          </w:p>
          <w:p w14:paraId="1EBBCF5D">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④社会主义经济理论研究</w:t>
            </w:r>
          </w:p>
          <w:p w14:paraId="6EBB06A5">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⑤农村经济</w:t>
            </w:r>
          </w:p>
          <w:p w14:paraId="7BE3A782">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⑥投资经济研究</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01D32AD4">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BC6F35">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英语</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85DE3A">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经济学</w:t>
            </w:r>
          </w:p>
        </w:tc>
      </w:tr>
      <w:tr w14:paraId="6BC8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27" w:hRule="atLeast"/>
        </w:trPr>
        <w:tc>
          <w:tcPr>
            <w:tcW w:w="2015" w:type="dxa"/>
            <w:tcBorders>
              <w:top w:val="single" w:color="auto" w:sz="4" w:space="0"/>
              <w:left w:val="single" w:color="auto" w:sz="4" w:space="0"/>
              <w:bottom w:val="single" w:color="auto" w:sz="4" w:space="0"/>
              <w:right w:val="single" w:color="auto" w:sz="4" w:space="0"/>
            </w:tcBorders>
            <w:shd w:val="clear" w:color="auto" w:fill="auto"/>
            <w:vAlign w:val="center"/>
          </w:tcPr>
          <w:p w14:paraId="6773E5D3">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020104</w:t>
            </w:r>
          </w:p>
          <w:p w14:paraId="68EB7F74">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西方经济学</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4F8B2D96">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①制度经济学</w:t>
            </w:r>
          </w:p>
          <w:p w14:paraId="6CAA5F92">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②博弈论与微观经济学</w:t>
            </w:r>
          </w:p>
          <w:p w14:paraId="24BD0B77">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③现代宏微观经济学</w:t>
            </w:r>
          </w:p>
          <w:p w14:paraId="7785EAB5">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④经济学说史</w:t>
            </w:r>
          </w:p>
          <w:p w14:paraId="3705DDC6">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⑤计量经济学</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4E5989EF">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09B33BB3">
            <w:pPr>
              <w:widowControl/>
              <w:spacing w:line="360" w:lineRule="auto"/>
              <w:contextualSpacing/>
              <w:jc w:val="left"/>
              <w:rPr>
                <w:rFonts w:cs="宋体" w:asciiTheme="minorEastAsia" w:hAnsiTheme="minorEastAsia"/>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92D4B76">
            <w:pPr>
              <w:widowControl/>
              <w:spacing w:line="360" w:lineRule="auto"/>
              <w:contextualSpacing/>
              <w:jc w:val="left"/>
              <w:rPr>
                <w:rFonts w:cs="宋体" w:asciiTheme="minorEastAsia" w:hAnsiTheme="minorEastAsia"/>
                <w:kern w:val="0"/>
                <w:sz w:val="24"/>
                <w:szCs w:val="24"/>
              </w:rPr>
            </w:pPr>
          </w:p>
        </w:tc>
      </w:tr>
      <w:tr w14:paraId="21F8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116" w:hRule="atLeast"/>
        </w:trPr>
        <w:tc>
          <w:tcPr>
            <w:tcW w:w="2015" w:type="dxa"/>
            <w:tcBorders>
              <w:top w:val="single" w:color="auto" w:sz="4" w:space="0"/>
              <w:left w:val="single" w:color="auto" w:sz="4" w:space="0"/>
              <w:bottom w:val="single" w:color="auto" w:sz="4" w:space="0"/>
              <w:right w:val="single" w:color="auto" w:sz="4" w:space="0"/>
            </w:tcBorders>
            <w:shd w:val="clear" w:color="auto" w:fill="auto"/>
            <w:vAlign w:val="center"/>
          </w:tcPr>
          <w:p w14:paraId="1446B43D">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020204</w:t>
            </w:r>
          </w:p>
          <w:p w14:paraId="34087FD0">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金融学</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37942C33">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①证券市场</w:t>
            </w:r>
          </w:p>
          <w:p w14:paraId="3721169B">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②货币金融</w:t>
            </w:r>
          </w:p>
          <w:p w14:paraId="6CB11B0E">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③国际金融</w:t>
            </w:r>
          </w:p>
          <w:p w14:paraId="61A2A8A9">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④金融理论与金融工程</w:t>
            </w:r>
          </w:p>
          <w:p w14:paraId="372D6C53">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⑤金融制度与企业成长</w:t>
            </w:r>
          </w:p>
          <w:p w14:paraId="02068A7E">
            <w:pPr>
              <w:widowControl/>
              <w:spacing w:line="360" w:lineRule="auto"/>
              <w:contextualSpacing/>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⑥投资经济研究</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31186465">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6E7B9382">
            <w:pPr>
              <w:widowControl/>
              <w:spacing w:line="360" w:lineRule="auto"/>
              <w:contextualSpacing/>
              <w:jc w:val="left"/>
              <w:rPr>
                <w:rFonts w:cs="宋体" w:asciiTheme="minorEastAsia" w:hAnsiTheme="minorEastAsia"/>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E58D962">
            <w:pPr>
              <w:widowControl/>
              <w:spacing w:line="360" w:lineRule="auto"/>
              <w:contextualSpacing/>
              <w:jc w:val="left"/>
              <w:rPr>
                <w:rFonts w:cs="宋体" w:asciiTheme="minorEastAsia" w:hAnsiTheme="minorEastAsia"/>
                <w:kern w:val="0"/>
                <w:sz w:val="24"/>
                <w:szCs w:val="24"/>
              </w:rPr>
            </w:pPr>
          </w:p>
        </w:tc>
      </w:tr>
      <w:tr w14:paraId="1521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87" w:hRule="atLeast"/>
        </w:trPr>
        <w:tc>
          <w:tcPr>
            <w:tcW w:w="2015" w:type="dxa"/>
            <w:tcBorders>
              <w:top w:val="single" w:color="auto" w:sz="4" w:space="0"/>
              <w:left w:val="single" w:color="auto" w:sz="4" w:space="0"/>
              <w:bottom w:val="single" w:color="auto" w:sz="4" w:space="0"/>
              <w:right w:val="single" w:color="auto" w:sz="4" w:space="0"/>
            </w:tcBorders>
            <w:shd w:val="clear" w:color="auto" w:fill="auto"/>
            <w:vAlign w:val="center"/>
          </w:tcPr>
          <w:p w14:paraId="15A23A8D">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020206</w:t>
            </w:r>
          </w:p>
          <w:p w14:paraId="3E9D805E">
            <w:pPr>
              <w:widowControl/>
              <w:tabs>
                <w:tab w:val="left" w:pos="1034"/>
              </w:tabs>
              <w:spacing w:line="360" w:lineRule="auto"/>
              <w:contextualSpacing/>
              <w:jc w:val="center"/>
              <w:rPr>
                <w:rFonts w:cs="宋体" w:asciiTheme="minorEastAsia" w:hAnsiTheme="minorEastAsia"/>
                <w:kern w:val="0"/>
                <w:sz w:val="24"/>
                <w:szCs w:val="24"/>
              </w:rPr>
            </w:pPr>
            <w:r>
              <w:rPr>
                <w:rFonts w:hint="eastAsia" w:cs="宋体" w:asciiTheme="minorEastAsia" w:hAnsiTheme="minorEastAsia"/>
                <w:color w:val="000000"/>
                <w:kern w:val="0"/>
                <w:sz w:val="24"/>
                <w:szCs w:val="24"/>
              </w:rPr>
              <w:t>国际贸易学</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1344B802">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①国际贸易理论与政策</w:t>
            </w:r>
          </w:p>
          <w:p w14:paraId="42452D6F">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②WTO与中国经济</w:t>
            </w:r>
          </w:p>
          <w:p w14:paraId="0FCA1659">
            <w:pPr>
              <w:widowControl/>
              <w:spacing w:line="360" w:lineRule="auto"/>
              <w:contextualSpacing/>
              <w:jc w:val="left"/>
              <w:rPr>
                <w:rFonts w:cs="宋体" w:asciiTheme="minorEastAsia" w:hAnsiTheme="minorEastAsia"/>
                <w:kern w:val="0"/>
                <w:sz w:val="24"/>
                <w:szCs w:val="24"/>
              </w:rPr>
            </w:pPr>
            <w:r>
              <w:rPr>
                <w:rFonts w:hint="eastAsia" w:cs="宋体" w:asciiTheme="minorEastAsia" w:hAnsiTheme="minorEastAsia"/>
                <w:color w:val="000000"/>
                <w:kern w:val="0"/>
                <w:sz w:val="24"/>
                <w:szCs w:val="24"/>
              </w:rPr>
              <w:t>③国际贸易实务</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1FBE959D">
            <w:pPr>
              <w:widowControl/>
              <w:spacing w:line="360" w:lineRule="auto"/>
              <w:contextualSpacing/>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2DC6746">
            <w:pPr>
              <w:widowControl/>
              <w:spacing w:line="360" w:lineRule="auto"/>
              <w:contextualSpacing/>
              <w:jc w:val="left"/>
              <w:rPr>
                <w:rFonts w:cs="宋体" w:asciiTheme="minorEastAsia" w:hAnsiTheme="minorEastAsia"/>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3F08003B">
            <w:pPr>
              <w:widowControl/>
              <w:spacing w:line="360" w:lineRule="auto"/>
              <w:contextualSpacing/>
              <w:jc w:val="left"/>
              <w:rPr>
                <w:rFonts w:cs="宋体" w:asciiTheme="minorEastAsia" w:hAnsiTheme="minorEastAsia"/>
                <w:kern w:val="0"/>
                <w:sz w:val="24"/>
                <w:szCs w:val="24"/>
              </w:rPr>
            </w:pPr>
          </w:p>
        </w:tc>
      </w:tr>
    </w:tbl>
    <w:p w14:paraId="27C2E4AD">
      <w:pPr>
        <w:widowControl/>
        <w:spacing w:line="360" w:lineRule="auto"/>
        <w:contextualSpacing/>
        <w:jc w:val="left"/>
        <w:rPr>
          <w:rFonts w:cs="宋体" w:asciiTheme="minorEastAsia" w:hAnsiTheme="minorEastAsia"/>
          <w:kern w:val="0"/>
          <w:sz w:val="24"/>
          <w:szCs w:val="24"/>
        </w:rPr>
      </w:pPr>
    </w:p>
    <w:p w14:paraId="29D3F915">
      <w:pPr>
        <w:spacing w:line="360" w:lineRule="auto"/>
        <w:contextualSpacing/>
        <w:jc w:val="left"/>
        <w:rPr>
          <w:rFonts w:asciiTheme="minorEastAsia" w:hAnsiTheme="minorEastAsia"/>
          <w:sz w:val="24"/>
          <w:szCs w:val="24"/>
        </w:rPr>
      </w:pPr>
    </w:p>
    <w:p w14:paraId="033E5321">
      <w:pPr>
        <w:spacing w:line="360" w:lineRule="auto"/>
        <w:contextualSpacing/>
        <w:jc w:val="left"/>
        <w:rPr>
          <w:rFonts w:asciiTheme="minorEastAsia" w:hAnsiTheme="minorEastAsia"/>
          <w:sz w:val="24"/>
          <w:szCs w:val="24"/>
        </w:rPr>
      </w:pPr>
    </w:p>
    <w:p w14:paraId="68DCF1C2">
      <w:pPr>
        <w:spacing w:line="360" w:lineRule="auto"/>
        <w:contextualSpacing/>
        <w:jc w:val="left"/>
        <w:rPr>
          <w:rFonts w:asciiTheme="minorEastAsia" w:hAnsiTheme="minorEastAsia"/>
          <w:b/>
          <w:bCs/>
          <w:sz w:val="24"/>
          <w:szCs w:val="24"/>
        </w:rPr>
      </w:pPr>
    </w:p>
    <w:p w14:paraId="224B42B5">
      <w:pPr>
        <w:numPr>
          <w:ilvl w:val="0"/>
          <w:numId w:val="1"/>
        </w:numPr>
        <w:rPr>
          <w:rFonts w:asciiTheme="minorEastAsia" w:hAnsiTheme="minorEastAsia"/>
          <w:b/>
          <w:bCs/>
          <w:sz w:val="24"/>
          <w:szCs w:val="24"/>
        </w:rPr>
      </w:pPr>
      <w:r>
        <w:rPr>
          <w:rFonts w:hint="eastAsia" w:asciiTheme="minorEastAsia" w:hAnsiTheme="minorEastAsia"/>
          <w:b/>
          <w:bCs/>
          <w:sz w:val="24"/>
          <w:szCs w:val="24"/>
        </w:rPr>
        <w:t>报考条件：</w:t>
      </w:r>
    </w:p>
    <w:p w14:paraId="690C3A44">
      <w:pPr>
        <w:spacing w:line="360" w:lineRule="auto"/>
        <w:ind w:firstLine="600" w:firstLineChars="250"/>
        <w:rPr>
          <w:rFonts w:hint="default" w:asciiTheme="minorEastAsia" w:hAnsiTheme="minorEastAsia" w:eastAsiaTheme="minorEastAsia"/>
          <w:b/>
          <w:bCs/>
          <w:sz w:val="24"/>
          <w:lang w:val="en-US" w:eastAsia="zh-CN"/>
        </w:rPr>
      </w:pPr>
      <w:r>
        <w:rPr>
          <w:rFonts w:hint="eastAsia" w:asciiTheme="minorEastAsia" w:hAnsiTheme="minorEastAsia"/>
          <w:sz w:val="24"/>
          <w:szCs w:val="24"/>
        </w:rPr>
        <w:t>申请人必须获得学士学位并在获得学士学位后三年以上，或者虽无学士学位但已获得硕士或博士学位，在申请学位的专业或就近专业做出成绩。</w:t>
      </w:r>
      <w:r>
        <w:rPr>
          <w:rFonts w:hint="eastAsia" w:asciiTheme="minorEastAsia" w:hAnsiTheme="minorEastAsia"/>
          <w:sz w:val="24"/>
          <w:lang w:val="en-US" w:eastAsia="zh-CN"/>
        </w:rPr>
        <w:t>报读学生前置专业属经管类。</w:t>
      </w:r>
    </w:p>
    <w:p w14:paraId="799B6242">
      <w:pPr>
        <w:spacing w:line="360" w:lineRule="auto"/>
        <w:ind w:firstLine="602" w:firstLineChars="250"/>
        <w:rPr>
          <w:rFonts w:asciiTheme="minorEastAsia" w:hAnsiTheme="minorEastAsia"/>
          <w:b/>
          <w:bCs/>
          <w:sz w:val="24"/>
          <w:szCs w:val="24"/>
        </w:rPr>
      </w:pPr>
      <w:bookmarkStart w:id="0" w:name="_GoBack"/>
      <w:bookmarkEnd w:id="0"/>
    </w:p>
    <w:p w14:paraId="23D7E703">
      <w:pPr>
        <w:rPr>
          <w:rFonts w:asciiTheme="minorEastAsia" w:hAnsiTheme="minorEastAsia"/>
          <w:b/>
          <w:bCs/>
          <w:sz w:val="24"/>
          <w:szCs w:val="24"/>
        </w:rPr>
      </w:pPr>
    </w:p>
    <w:p w14:paraId="26D91601">
      <w:pPr>
        <w:numPr>
          <w:ilvl w:val="0"/>
          <w:numId w:val="1"/>
        </w:numPr>
        <w:rPr>
          <w:rFonts w:asciiTheme="minorEastAsia" w:hAnsiTheme="minorEastAsia"/>
          <w:b/>
          <w:bCs/>
          <w:sz w:val="24"/>
          <w:szCs w:val="24"/>
        </w:rPr>
      </w:pPr>
      <w:r>
        <w:rPr>
          <w:rFonts w:hint="eastAsia" w:asciiTheme="minorEastAsia" w:hAnsiTheme="minorEastAsia"/>
          <w:b/>
          <w:bCs/>
          <w:sz w:val="24"/>
          <w:szCs w:val="24"/>
        </w:rPr>
        <w:t>报名材料：</w:t>
      </w:r>
    </w:p>
    <w:p w14:paraId="2F2E1605">
      <w:pPr>
        <w:spacing w:line="360" w:lineRule="auto"/>
        <w:ind w:firstLine="480" w:firstLineChars="200"/>
        <w:contextualSpacing/>
        <w:jc w:val="left"/>
        <w:rPr>
          <w:rFonts w:asciiTheme="minorEastAsia" w:hAnsiTheme="minorEastAsia"/>
          <w:sz w:val="24"/>
          <w:szCs w:val="24"/>
        </w:rPr>
      </w:pPr>
      <w:r>
        <w:rPr>
          <w:rFonts w:hint="eastAsia" w:asciiTheme="minorEastAsia" w:hAnsiTheme="minorEastAsia"/>
          <w:sz w:val="24"/>
          <w:szCs w:val="24"/>
        </w:rPr>
        <w:t>1、资格审核材料：最高学历、学位证、第二代身份证复印件（或电子版）</w:t>
      </w:r>
    </w:p>
    <w:p w14:paraId="3174147F">
      <w:pPr>
        <w:spacing w:line="360" w:lineRule="auto"/>
        <w:ind w:firstLine="480" w:firstLineChars="200"/>
        <w:contextualSpacing/>
        <w:jc w:val="left"/>
        <w:rPr>
          <w:rFonts w:asciiTheme="minorEastAsia" w:hAnsiTheme="minorEastAsia"/>
          <w:sz w:val="24"/>
          <w:szCs w:val="24"/>
        </w:rPr>
      </w:pPr>
      <w:r>
        <w:rPr>
          <w:rFonts w:hint="eastAsia" w:asciiTheme="minorEastAsia" w:hAnsiTheme="minorEastAsia"/>
          <w:sz w:val="24"/>
          <w:szCs w:val="24"/>
        </w:rPr>
        <w:t>2、报名：最高学历、学位证、第二代身份证复印件各一张，一寸彩色照片4张，手填报名登记表1张。</w:t>
      </w:r>
    </w:p>
    <w:p w14:paraId="10B5C02B">
      <w:pPr>
        <w:rPr>
          <w:rFonts w:asciiTheme="minorEastAsia" w:hAnsiTheme="minorEastAsia"/>
          <w:b/>
          <w:bCs/>
          <w:sz w:val="24"/>
          <w:szCs w:val="24"/>
        </w:rPr>
      </w:pPr>
    </w:p>
    <w:p w14:paraId="522CD672">
      <w:pPr>
        <w:rPr>
          <w:rFonts w:asciiTheme="minorEastAsia" w:hAnsiTheme="minorEastAsia"/>
          <w:b/>
          <w:bCs/>
          <w:sz w:val="24"/>
          <w:szCs w:val="24"/>
        </w:rPr>
      </w:pPr>
    </w:p>
    <w:p w14:paraId="37860EF5">
      <w:pPr>
        <w:rPr>
          <w:rFonts w:asciiTheme="minorEastAsia" w:hAnsiTheme="minorEastAsia"/>
          <w:b/>
          <w:bCs/>
          <w:sz w:val="24"/>
          <w:szCs w:val="24"/>
        </w:rPr>
      </w:pPr>
    </w:p>
    <w:p w14:paraId="33E7E8B1">
      <w:pPr>
        <w:numPr>
          <w:ilvl w:val="0"/>
          <w:numId w:val="1"/>
        </w:numPr>
        <w:rPr>
          <w:rFonts w:asciiTheme="minorEastAsia" w:hAnsiTheme="minorEastAsia"/>
          <w:b/>
          <w:bCs/>
          <w:sz w:val="24"/>
          <w:szCs w:val="24"/>
        </w:rPr>
      </w:pPr>
      <w:r>
        <w:rPr>
          <w:rFonts w:hint="eastAsia" w:asciiTheme="minorEastAsia" w:hAnsiTheme="minorEastAsia"/>
          <w:b/>
          <w:bCs/>
          <w:sz w:val="24"/>
          <w:szCs w:val="24"/>
        </w:rPr>
        <w:t>学位授予：</w:t>
      </w:r>
    </w:p>
    <w:p w14:paraId="31B8739A">
      <w:pPr>
        <w:spacing w:line="360" w:lineRule="auto"/>
        <w:ind w:firstLine="482" w:firstLineChars="200"/>
        <w:contextualSpacing/>
        <w:jc w:val="left"/>
        <w:rPr>
          <w:rFonts w:asciiTheme="minorEastAsia" w:hAnsiTheme="minorEastAsia"/>
          <w:sz w:val="24"/>
          <w:szCs w:val="24"/>
        </w:rPr>
      </w:pPr>
      <w:r>
        <w:rPr>
          <w:rFonts w:hint="eastAsia" w:asciiTheme="minorEastAsia" w:hAnsiTheme="minorEastAsia"/>
          <w:b/>
          <w:bCs/>
          <w:sz w:val="24"/>
          <w:szCs w:val="24"/>
        </w:rPr>
        <w:t xml:space="preserve"> </w:t>
      </w:r>
      <w:r>
        <w:rPr>
          <w:rFonts w:hint="eastAsia" w:asciiTheme="minorEastAsia" w:hAnsiTheme="minorEastAsia"/>
          <w:sz w:val="24"/>
          <w:szCs w:val="24"/>
        </w:rPr>
        <w:t>申请人在通过全部考试后一年内提出学位论文。论文答辩应在申请人提交论文后的半年内完成。对通过学位论文答辩，符合学位授予条件者，授予山东大学经济学硕士学位。</w:t>
      </w:r>
    </w:p>
    <w:p w14:paraId="558497C2">
      <w:pPr>
        <w:rPr>
          <w:rFonts w:asciiTheme="minorEastAsia" w:hAnsiTheme="minorEastAsia"/>
          <w:b/>
          <w:bCs/>
          <w:sz w:val="24"/>
          <w:szCs w:val="24"/>
        </w:rPr>
      </w:pPr>
    </w:p>
    <w:p w14:paraId="699FC32A">
      <w:pPr>
        <w:rPr>
          <w:rFonts w:asciiTheme="minorEastAsia" w:hAnsiTheme="minorEastAsia"/>
          <w:b/>
          <w:bCs/>
          <w:sz w:val="24"/>
          <w:szCs w:val="24"/>
        </w:rPr>
      </w:pPr>
    </w:p>
    <w:p w14:paraId="7B85A2C3">
      <w:pPr>
        <w:numPr>
          <w:ilvl w:val="0"/>
          <w:numId w:val="1"/>
        </w:numPr>
        <w:rPr>
          <w:rFonts w:asciiTheme="minorEastAsia" w:hAnsiTheme="minorEastAsia"/>
          <w:b/>
          <w:bCs/>
          <w:sz w:val="24"/>
          <w:szCs w:val="24"/>
        </w:rPr>
      </w:pPr>
      <w:r>
        <w:rPr>
          <w:rFonts w:hint="eastAsia" w:asciiTheme="minorEastAsia" w:hAnsiTheme="minorEastAsia"/>
          <w:b/>
          <w:bCs/>
          <w:sz w:val="24"/>
          <w:szCs w:val="24"/>
        </w:rPr>
        <w:t>考试时间和科目：</w:t>
      </w:r>
    </w:p>
    <w:p w14:paraId="6E5E2A66">
      <w:pPr>
        <w:spacing w:line="360" w:lineRule="auto"/>
        <w:ind w:firstLine="480" w:firstLineChars="200"/>
        <w:contextualSpacing/>
        <w:jc w:val="left"/>
        <w:rPr>
          <w:rFonts w:asciiTheme="minorEastAsia" w:hAnsiTheme="minorEastAsia"/>
          <w:sz w:val="24"/>
          <w:szCs w:val="24"/>
        </w:rPr>
      </w:pPr>
      <w:r>
        <w:rPr>
          <w:rFonts w:hint="eastAsia" w:asciiTheme="minorEastAsia" w:hAnsiTheme="minorEastAsia"/>
          <w:sz w:val="24"/>
          <w:szCs w:val="24"/>
        </w:rPr>
        <w:t>1、全国统考一般每年1-2月份报名，5月份考试，具体以山东大学研究生院网站公布为准。</w:t>
      </w:r>
    </w:p>
    <w:p w14:paraId="19E0E249">
      <w:pPr>
        <w:ind w:firstLine="480" w:firstLineChars="200"/>
        <w:rPr>
          <w:rFonts w:asciiTheme="minorEastAsia" w:hAnsiTheme="minorEastAsia"/>
          <w:sz w:val="24"/>
          <w:szCs w:val="24"/>
        </w:rPr>
      </w:pPr>
      <w:r>
        <w:rPr>
          <w:rFonts w:hint="eastAsia" w:asciiTheme="minorEastAsia" w:hAnsiTheme="minorEastAsia"/>
          <w:sz w:val="24"/>
          <w:szCs w:val="24"/>
        </w:rPr>
        <w:t>2、考试科目为英语和经济学综合两科，单科100分，60分合格</w:t>
      </w:r>
    </w:p>
    <w:p w14:paraId="3FB3907A">
      <w:pPr>
        <w:rPr>
          <w:rFonts w:asciiTheme="minorEastAsia" w:hAnsiTheme="minorEastAsia"/>
          <w:b/>
          <w:bCs/>
          <w:sz w:val="24"/>
          <w:szCs w:val="24"/>
        </w:rPr>
      </w:pPr>
    </w:p>
    <w:p w14:paraId="4B1C5A5A">
      <w:pPr>
        <w:numPr>
          <w:ilvl w:val="0"/>
          <w:numId w:val="1"/>
        </w:numPr>
        <w:rPr>
          <w:rFonts w:asciiTheme="minorEastAsia" w:hAnsiTheme="minorEastAsia"/>
          <w:b/>
          <w:bCs/>
          <w:sz w:val="24"/>
          <w:szCs w:val="24"/>
        </w:rPr>
      </w:pPr>
      <w:r>
        <w:rPr>
          <w:rFonts w:hint="eastAsia" w:asciiTheme="minorEastAsia" w:hAnsiTheme="minorEastAsia"/>
          <w:b/>
          <w:bCs/>
          <w:sz w:val="24"/>
          <w:szCs w:val="24"/>
        </w:rPr>
        <w:t>申请费用：</w:t>
      </w:r>
    </w:p>
    <w:p w14:paraId="487B73E3">
      <w:pPr>
        <w:spacing w:line="360" w:lineRule="auto"/>
        <w:ind w:firstLine="480" w:firstLineChars="200"/>
        <w:contextualSpacing/>
        <w:jc w:val="left"/>
        <w:rPr>
          <w:rFonts w:asciiTheme="minorEastAsia" w:hAnsiTheme="minorEastAsia"/>
          <w:sz w:val="24"/>
          <w:szCs w:val="24"/>
        </w:rPr>
      </w:pPr>
      <w:r>
        <w:rPr>
          <w:rFonts w:hint="eastAsia" w:asciiTheme="minorEastAsia" w:hAnsiTheme="minorEastAsia"/>
          <w:sz w:val="24"/>
          <w:szCs w:val="24"/>
        </w:rPr>
        <w:t>学费在课程学习前和学位论文开题前分两次交纳，课程阶段学费2万元，论文阶段学费</w:t>
      </w:r>
      <w:r>
        <w:rPr>
          <w:rFonts w:hint="eastAsia" w:asciiTheme="minorEastAsia" w:hAnsiTheme="minorEastAsia"/>
          <w:sz w:val="24"/>
          <w:szCs w:val="24"/>
          <w:lang w:val="en-US" w:eastAsia="zh-CN"/>
        </w:rPr>
        <w:t>1.6</w:t>
      </w:r>
      <w:r>
        <w:rPr>
          <w:rFonts w:hint="eastAsia" w:asciiTheme="minorEastAsia" w:hAnsiTheme="minorEastAsia"/>
          <w:sz w:val="24"/>
          <w:szCs w:val="24"/>
        </w:rPr>
        <w:t>万。</w:t>
      </w:r>
    </w:p>
    <w:p w14:paraId="34341D64">
      <w:pPr>
        <w:rPr>
          <w:rFonts w:asciiTheme="minorEastAsia" w:hAnsiTheme="minorEastAsia"/>
          <w:b/>
          <w:bCs/>
          <w:sz w:val="24"/>
          <w:szCs w:val="24"/>
        </w:rPr>
      </w:pPr>
    </w:p>
    <w:p w14:paraId="56A50F0C">
      <w:pPr>
        <w:rPr>
          <w:rFonts w:asciiTheme="minorEastAsia" w:hAnsiTheme="minorEastAsia"/>
          <w:b/>
          <w:bCs/>
          <w:sz w:val="24"/>
          <w:szCs w:val="24"/>
        </w:rPr>
      </w:pPr>
    </w:p>
    <w:p w14:paraId="2DDF18D5">
      <w:pPr>
        <w:ind w:firstLine="481"/>
        <w:rPr>
          <w:rFonts w:asciiTheme="minorEastAsia" w:hAnsiTheme="minorEastAsia"/>
          <w:sz w:val="24"/>
          <w:szCs w:val="24"/>
        </w:rPr>
      </w:pPr>
    </w:p>
    <w:p w14:paraId="39084C4E">
      <w:pPr>
        <w:spacing w:line="360" w:lineRule="auto"/>
        <w:ind w:firstLine="480" w:firstLineChars="200"/>
        <w:contextualSpacing/>
        <w:jc w:val="left"/>
        <w:rPr>
          <w:rFonts w:asciiTheme="minorEastAsia" w:hAnsiTheme="minorEastAsia"/>
          <w:sz w:val="24"/>
          <w:szCs w:val="24"/>
        </w:rPr>
      </w:pPr>
    </w:p>
    <w:p w14:paraId="121CC3A1">
      <w:pPr>
        <w:spacing w:line="360" w:lineRule="auto"/>
        <w:contextualSpacing/>
        <w:rPr>
          <w:rFonts w:asciiTheme="minorEastAsia" w:hAnsiTheme="minorEastAsia"/>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1ABFA">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74310"/>
          <wp:effectExtent l="0" t="0" r="2540" b="2540"/>
          <wp:wrapNone/>
          <wp:docPr id="2" name="WordPictureWatermark23779"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3779" descr="timg"/>
                  <pic:cNvPicPr>
                    <a:picLocks noChangeAspect="1"/>
                  </pic:cNvPicPr>
                </pic:nvPicPr>
                <pic:blipFill>
                  <a:blip r:embed="rId1">
                    <a:lum bright="69998" contrast="-70001"/>
                  </a:blip>
                  <a:stretch>
                    <a:fillRect/>
                  </a:stretch>
                </pic:blipFill>
                <pic:spPr>
                  <a:xfrm>
                    <a:off x="0" y="0"/>
                    <a:ext cx="5274310" cy="5274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4A47"/>
    <w:multiLevelType w:val="singleLevel"/>
    <w:tmpl w:val="D81C4A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00786EC4"/>
    <w:rsid w:val="0002685F"/>
    <w:rsid w:val="002350CA"/>
    <w:rsid w:val="0051508C"/>
    <w:rsid w:val="00517D90"/>
    <w:rsid w:val="0053446C"/>
    <w:rsid w:val="006D43F8"/>
    <w:rsid w:val="00786EC4"/>
    <w:rsid w:val="00882498"/>
    <w:rsid w:val="0092653A"/>
    <w:rsid w:val="00977B1D"/>
    <w:rsid w:val="00C70237"/>
    <w:rsid w:val="00C9735F"/>
    <w:rsid w:val="00CB4BC4"/>
    <w:rsid w:val="00DB6C25"/>
    <w:rsid w:val="00E349FC"/>
    <w:rsid w:val="00ED08DA"/>
    <w:rsid w:val="07CF19E7"/>
    <w:rsid w:val="0CAB7A63"/>
    <w:rsid w:val="17F215CD"/>
    <w:rsid w:val="18DA6999"/>
    <w:rsid w:val="2DD03DCF"/>
    <w:rsid w:val="3D8E153F"/>
    <w:rsid w:val="47A956C0"/>
    <w:rsid w:val="47D369FD"/>
    <w:rsid w:val="4A647D3D"/>
    <w:rsid w:val="586021CB"/>
    <w:rsid w:val="6DB62452"/>
    <w:rsid w:val="6E802601"/>
    <w:rsid w:val="71406547"/>
    <w:rsid w:val="769A6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semiHidden/>
    <w:qFormat/>
    <w:uiPriority w:val="99"/>
    <w:rPr>
      <w:sz w:val="18"/>
      <w:szCs w:val="18"/>
    </w:rPr>
  </w:style>
  <w:style w:type="character" w:customStyle="1" w:styleId="9">
    <w:name w:val="页脚 字符"/>
    <w:basedOn w:val="7"/>
    <w:link w:val="3"/>
    <w:semiHidden/>
    <w:qFormat/>
    <w:uiPriority w:val="99"/>
    <w:rPr>
      <w:sz w:val="18"/>
      <w:szCs w:val="18"/>
    </w:rPr>
  </w:style>
  <w:style w:type="character" w:customStyle="1" w:styleId="10">
    <w:name w:val="批注框文本 字符"/>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1779</Words>
  <Characters>1826</Characters>
  <Lines>14</Lines>
  <Paragraphs>3</Paragraphs>
  <TotalTime>0</TotalTime>
  <ScaleCrop>false</ScaleCrop>
  <LinksUpToDate>false</LinksUpToDate>
  <CharactersWithSpaces>1841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2017-03-11T01:00:00Z</dcterms:created>
  <dc:creator>Administrator</dc:creator>
  <cp:lastModifiedBy>Administrator</cp:lastModifiedBy>
  <cp:lastPrinted>2019-05-09T02:26:00Z</cp:lastPrinted>
  <dcterms:modified xsi:type="dcterms:W3CDTF">2026-01-15T06:09:26Z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82E43B1E476241C8B978D9CF483BE485</vt:lpwstr>
  </property>
  <property fmtid="{D5CDD505-2E9C-101B-9397-08002B2CF9AE}" pid="4" name="KSOTemplateDocerSaveRecord">
    <vt:lpwstr>eyJoZGlkIjoiMjJkYmYyOGQwNjU2YTFjYjBlYWQzZDdlZjc2Nzk1ZWYifQ==</vt:lpwstr>
  </property>
</Properties>
</file>