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944AF">
      <w:r>
        <w:drawing>
          <wp:inline distT="0" distB="0" distL="114300" distR="114300">
            <wp:extent cx="5270500" cy="1273810"/>
            <wp:effectExtent l="0" t="0" r="635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0500" cy="1273810"/>
                    </a:xfrm>
                    <a:prstGeom prst="rect">
                      <a:avLst/>
                    </a:prstGeom>
                    <a:noFill/>
                    <a:ln>
                      <a:noFill/>
                    </a:ln>
                  </pic:spPr>
                </pic:pic>
              </a:graphicData>
            </a:graphic>
          </wp:inline>
        </w:drawing>
      </w:r>
    </w:p>
    <w:p w14:paraId="692B6C48"/>
    <w:p w14:paraId="55C6EC64">
      <w:pPr>
        <w:pStyle w:val="4"/>
        <w:snapToGrid w:val="0"/>
        <w:spacing w:line="360" w:lineRule="auto"/>
        <w:contextualSpacing/>
        <w:jc w:val="center"/>
        <w:rPr>
          <w:rFonts w:hint="eastAsia" w:asciiTheme="majorEastAsia" w:hAnsiTheme="majorEastAsia" w:eastAsiaTheme="majorEastAsia"/>
          <w:b/>
          <w:sz w:val="32"/>
          <w:szCs w:val="32"/>
          <w:lang w:val="en-US" w:eastAsia="zh-CN"/>
        </w:rPr>
      </w:pPr>
      <w:r>
        <w:rPr>
          <w:rFonts w:hint="eastAsia" w:asciiTheme="majorEastAsia" w:hAnsiTheme="majorEastAsia" w:eastAsiaTheme="majorEastAsia"/>
          <w:b/>
          <w:sz w:val="32"/>
          <w:szCs w:val="32"/>
          <w:lang w:val="en-US" w:eastAsia="zh-CN"/>
        </w:rPr>
        <w:t>武汉轻工</w:t>
      </w:r>
      <w:r>
        <w:rPr>
          <w:rFonts w:asciiTheme="majorEastAsia" w:hAnsiTheme="majorEastAsia" w:eastAsiaTheme="majorEastAsia"/>
          <w:b/>
          <w:sz w:val="32"/>
          <w:szCs w:val="32"/>
        </w:rPr>
        <w:t>大学</w:t>
      </w:r>
      <w:r>
        <w:rPr>
          <w:rFonts w:hint="eastAsia" w:asciiTheme="majorEastAsia" w:hAnsiTheme="majorEastAsia" w:eastAsiaTheme="majorEastAsia"/>
          <w:b/>
          <w:sz w:val="32"/>
          <w:szCs w:val="32"/>
          <w:lang w:val="en-US" w:eastAsia="zh-CN"/>
        </w:rPr>
        <w:t>工商管理同等学力申请硕士学位</w:t>
      </w:r>
    </w:p>
    <w:p w14:paraId="2A94CC88">
      <w:pPr>
        <w:pStyle w:val="4"/>
        <w:snapToGrid w:val="0"/>
        <w:spacing w:line="360" w:lineRule="auto"/>
        <w:contextualSpacing/>
        <w:jc w:val="center"/>
        <w:rPr>
          <w:rFonts w:hint="eastAsia" w:asciiTheme="majorEastAsia" w:hAnsiTheme="majorEastAsia" w:eastAsiaTheme="majorEastAsia"/>
          <w:b/>
          <w:sz w:val="32"/>
          <w:szCs w:val="32"/>
        </w:rPr>
      </w:pPr>
      <w:r>
        <w:rPr>
          <w:rFonts w:asciiTheme="majorEastAsia" w:hAnsiTheme="majorEastAsia" w:eastAsiaTheme="majorEastAsia"/>
          <w:b/>
          <w:sz w:val="32"/>
          <w:szCs w:val="32"/>
        </w:rPr>
        <w:t>招生简章</w:t>
      </w:r>
    </w:p>
    <w:p w14:paraId="66562CE0">
      <w:pPr>
        <w:pStyle w:val="4"/>
        <w:snapToGrid w:val="0"/>
        <w:spacing w:line="360" w:lineRule="auto"/>
        <w:ind w:left="2459" w:leftChars="100" w:hanging="2249" w:hangingChars="700"/>
        <w:contextualSpacing/>
        <w:jc w:val="center"/>
        <w:rPr>
          <w:rFonts w:hint="eastAsia" w:asciiTheme="majorEastAsia" w:hAnsiTheme="majorEastAsia" w:eastAsiaTheme="majorEastAsia"/>
          <w:b/>
          <w:sz w:val="32"/>
          <w:szCs w:val="32"/>
        </w:rPr>
      </w:pPr>
    </w:p>
    <w:p w14:paraId="6F02A8AF">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院校简介：</w:t>
      </w:r>
    </w:p>
    <w:p w14:paraId="45921452">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武汉轻工大学创建于1951年，位于有“九省通衢”之称的湖北省武汉市，是全国最早培养粮食行业专门人才的学校，先后隶属于原国家粮食部、商业部、国内贸易部，1998年实行中央和地方共建，以湖北省管理为主的管理体制，是国家粮食和物资储备局与湖北省人民政府共建高校、湖北省国内一流学科建设高校和湖北省第一批本科招生高校。</w:t>
      </w:r>
    </w:p>
    <w:p w14:paraId="4A3F87F3">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学校坚持以学科建设为龙头，大力实施“特色兴校”战略。聚焦“大食品大营养大健康”领域，形成了以工学为主体，农学和管理学为两翼，工、农、管、理、文、经、医、艺、法等多学科协调发展的格局。现有一级学科硕士点13个，二级学科硕士点70个，交叉学科硕士点3个，硕士专业学位授权点11个类别（16个领域），其中 “国内一流学科”1个，湖北省优势特色学科群4个，“农业科学”进入ESI全球排名前1%；学校拥有国家级、省（部）级科技创新平台55个，其中国家级平台2个、省（部）级重点实验室4个。</w:t>
      </w:r>
    </w:p>
    <w:p w14:paraId="723CB048">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管理学院建于1984年,现有专任教师83人，其中教授、副教授等高级职称教师占61%，具有博士学位教师占61%。学院拥有工商管理和公共管理2个学术型一级学科硕士学位授权点，其中工商管理是湖北省优势特色学科群食品科学与安全学科群的支撑学科，博士点立项建设学科。现招收</w:t>
      </w:r>
      <w:bookmarkStart w:id="0" w:name="_GoBack"/>
      <w:bookmarkEnd w:id="0"/>
      <w:r>
        <w:rPr>
          <w:rFonts w:hint="eastAsia" w:asciiTheme="minorEastAsia" w:hAnsiTheme="minorEastAsia" w:eastAsiaTheme="minorEastAsia"/>
          <w:b w:val="0"/>
          <w:bCs w:val="0"/>
          <w:sz w:val="21"/>
          <w:szCs w:val="21"/>
          <w:lang w:val="en-US" w:eastAsia="zh-CN"/>
        </w:rPr>
        <w:t>工商管理专业研修课程培训班学员，为社会各界提供优秀硕士研究生专业人才。</w:t>
      </w:r>
    </w:p>
    <w:p w14:paraId="530A4E83">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p>
    <w:p w14:paraId="13DA2BE0">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培养目标：</w:t>
      </w:r>
    </w:p>
    <w:p w14:paraId="45C20011">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316"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bCs/>
          <w:sz w:val="21"/>
          <w:szCs w:val="21"/>
          <w:lang w:val="en-US" w:eastAsia="zh-CN"/>
        </w:rPr>
        <w:t xml:space="preserve">   </w:t>
      </w:r>
      <w:r>
        <w:rPr>
          <w:rFonts w:hint="eastAsia" w:asciiTheme="minorEastAsia" w:hAnsiTheme="minorEastAsia" w:eastAsiaTheme="minorEastAsia"/>
          <w:b w:val="0"/>
          <w:bCs w:val="0"/>
          <w:sz w:val="21"/>
          <w:szCs w:val="21"/>
          <w:lang w:val="en-US" w:eastAsia="zh-CN"/>
        </w:rPr>
        <w:t>本专业主要通过学习和掌握工商管理相关基础理论和知识，掌握本学科基础理论和系统的专业知识以及必要的实践技能，了解学科发展现状和动向，培养具强烈事业心和社会责任感，积极为社会主义现代化建设服务的，具备一定的学术研究创新能力和开拓进取精神，能够开展本专业学术研究和应用研究、适应工商企业与科研机构的教学与研究的专门人才。</w:t>
      </w:r>
    </w:p>
    <w:p w14:paraId="5B7A4C59">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315" w:firstLineChars="150"/>
        <w:contextualSpacing/>
        <w:jc w:val="left"/>
        <w:textAlignment w:val="auto"/>
        <w:rPr>
          <w:rFonts w:hint="eastAsia" w:asciiTheme="minorEastAsia" w:hAnsiTheme="minorEastAsia" w:eastAsiaTheme="minorEastAsia"/>
          <w:b w:val="0"/>
          <w:bCs w:val="0"/>
          <w:sz w:val="21"/>
          <w:szCs w:val="21"/>
          <w:lang w:val="en-US" w:eastAsia="zh-CN"/>
        </w:rPr>
      </w:pPr>
    </w:p>
    <w:p w14:paraId="7BC0962F">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培养优势：</w:t>
      </w:r>
    </w:p>
    <w:p w14:paraId="0CFC8EF1">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免试入学</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大专以上即可报名，</w:t>
      </w:r>
      <w:r>
        <w:rPr>
          <w:rFonts w:hint="eastAsia" w:asciiTheme="minorEastAsia" w:hAnsiTheme="minorEastAsia" w:eastAsiaTheme="minorEastAsia" w:cstheme="minorEastAsia"/>
          <w:sz w:val="21"/>
          <w:szCs w:val="21"/>
        </w:rPr>
        <w:t>先学习再考试，有足够充分的准备和学习课程的时间；</w:t>
      </w:r>
    </w:p>
    <w:p w14:paraId="79D3AB23">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学习方式灵活</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val="en-US" w:eastAsia="zh-CN"/>
        </w:rPr>
        <w:t>授课方式采用线上线下灵活教学方式，社会在职人员可以边学习边工作，灵活学习</w:t>
      </w:r>
      <w:r>
        <w:rPr>
          <w:rFonts w:hint="eastAsia" w:asciiTheme="minorEastAsia" w:hAnsiTheme="minorEastAsia" w:eastAsiaTheme="minorEastAsia" w:cstheme="minorEastAsia"/>
          <w:sz w:val="21"/>
          <w:szCs w:val="21"/>
        </w:rPr>
        <w:t>；</w:t>
      </w:r>
    </w:p>
    <w:p w14:paraId="6D5B2267">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师资队伍</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学校大力实施“人才强校”战略，形成了一支理想信念坚定、道德情操高尚、知识功底扎实、富有仁爱之心的教</w:t>
      </w:r>
      <w:r>
        <w:rPr>
          <w:rFonts w:hint="eastAsia" w:asciiTheme="minorEastAsia" w:hAnsiTheme="minorEastAsia" w:eastAsiaTheme="minorEastAsia" w:cstheme="minorEastAsia"/>
          <w:b w:val="0"/>
          <w:bCs w:val="0"/>
          <w:sz w:val="21"/>
          <w:szCs w:val="21"/>
          <w:lang w:val="en-US" w:eastAsia="zh-CN"/>
        </w:rPr>
        <w:t>师队</w:t>
      </w:r>
      <w:r>
        <w:rPr>
          <w:rFonts w:hint="eastAsia" w:asciiTheme="minorEastAsia" w:hAnsiTheme="minorEastAsia" w:eastAsiaTheme="minorEastAsia" w:cstheme="minorEastAsia"/>
          <w:sz w:val="21"/>
          <w:szCs w:val="21"/>
          <w:lang w:val="en-US" w:eastAsia="zh-CN"/>
        </w:rPr>
        <w:t>伍；</w:t>
      </w:r>
    </w:p>
    <w:p w14:paraId="0277EF7F">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【弹性学制】</w:t>
      </w:r>
      <w:r>
        <w:rPr>
          <w:rFonts w:hint="eastAsia" w:asciiTheme="minorEastAsia" w:hAnsiTheme="minorEastAsia" w:eastAsiaTheme="minorEastAsia" w:cstheme="minorEastAsia"/>
          <w:b w:val="0"/>
          <w:bCs w:val="0"/>
          <w:sz w:val="21"/>
          <w:szCs w:val="21"/>
          <w:lang w:val="en-US" w:eastAsia="zh-CN"/>
        </w:rPr>
        <w:t>：完成课业安排，只要达到申硕条件者，可申请每年参加同等学力申硕考试；</w:t>
      </w:r>
    </w:p>
    <w:p w14:paraId="77BB3ADD">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结交高端人脉</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可享受与在校生同等的电子数据资源，获得校友人脉资源，结交高端人脉。</w:t>
      </w:r>
    </w:p>
    <w:p w14:paraId="09B2D153">
      <w:pPr>
        <w:pStyle w:val="4"/>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bCs/>
          <w:sz w:val="21"/>
          <w:szCs w:val="21"/>
          <w:lang w:val="en-US" w:eastAsia="zh-CN"/>
        </w:rPr>
      </w:pPr>
    </w:p>
    <w:p w14:paraId="6A88EA08">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课程设置：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402"/>
        <w:gridCol w:w="3311"/>
      </w:tblGrid>
      <w:tr w14:paraId="237D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tcPr>
          <w:p w14:paraId="6129C9F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cstheme="minorEastAsia"/>
                <w:b/>
                <w:sz w:val="21"/>
                <w:szCs w:val="21"/>
                <w:lang w:val="en-US" w:eastAsia="zh-CN"/>
              </w:rPr>
              <w:t>工商管理</w:t>
            </w:r>
            <w:r>
              <w:rPr>
                <w:rFonts w:hint="eastAsia" w:asciiTheme="minorEastAsia" w:hAnsiTheme="minorEastAsia" w:eastAsiaTheme="minorEastAsia" w:cstheme="minorEastAsia"/>
                <w:b/>
                <w:sz w:val="21"/>
                <w:szCs w:val="21"/>
              </w:rPr>
              <w:t>专业课程</w:t>
            </w:r>
          </w:p>
        </w:tc>
      </w:tr>
      <w:tr w14:paraId="095C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674034D5">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公共学位课</w:t>
            </w:r>
          </w:p>
        </w:tc>
        <w:tc>
          <w:tcPr>
            <w:tcW w:w="3402" w:type="dxa"/>
          </w:tcPr>
          <w:p w14:paraId="059C0EB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中国特色社会主义理论与实践</w:t>
            </w:r>
          </w:p>
        </w:tc>
        <w:tc>
          <w:tcPr>
            <w:tcW w:w="3311" w:type="dxa"/>
          </w:tcPr>
          <w:p w14:paraId="22A6277E">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基础</w:t>
            </w:r>
            <w:r>
              <w:rPr>
                <w:rFonts w:hint="eastAsia" w:asciiTheme="minorEastAsia" w:hAnsiTheme="minorEastAsia" w:eastAsiaTheme="minorEastAsia" w:cstheme="minorEastAsia"/>
                <w:sz w:val="21"/>
                <w:szCs w:val="21"/>
                <w:lang w:val="en-US" w:eastAsia="zh-CN"/>
              </w:rPr>
              <w:t>英语</w:t>
            </w:r>
          </w:p>
        </w:tc>
      </w:tr>
      <w:tr w14:paraId="5553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248CDFC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1491565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马克思主义与社会科学方法论</w:t>
            </w:r>
          </w:p>
        </w:tc>
        <w:tc>
          <w:tcPr>
            <w:tcW w:w="3311" w:type="dxa"/>
          </w:tcPr>
          <w:p w14:paraId="63FF985E">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专业英语</w:t>
            </w:r>
          </w:p>
        </w:tc>
      </w:tr>
      <w:tr w14:paraId="7C9C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60776D7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必修课</w:t>
            </w:r>
          </w:p>
        </w:tc>
        <w:tc>
          <w:tcPr>
            <w:tcW w:w="3402" w:type="dxa"/>
          </w:tcPr>
          <w:p w14:paraId="62E5417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管理研究方法</w:t>
            </w:r>
          </w:p>
        </w:tc>
        <w:tc>
          <w:tcPr>
            <w:tcW w:w="3311" w:type="dxa"/>
          </w:tcPr>
          <w:p w14:paraId="14D3A62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中级宏观经济学</w:t>
            </w:r>
          </w:p>
        </w:tc>
      </w:tr>
      <w:tr w14:paraId="31A6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38DC726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4C06569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公司治理理论</w:t>
            </w:r>
          </w:p>
        </w:tc>
        <w:tc>
          <w:tcPr>
            <w:tcW w:w="3311" w:type="dxa"/>
          </w:tcPr>
          <w:p w14:paraId="1331381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战略研究与分析</w:t>
            </w:r>
          </w:p>
        </w:tc>
      </w:tr>
      <w:tr w14:paraId="4D29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7324075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27A8C70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技术经济及管理前沿</w:t>
            </w:r>
          </w:p>
        </w:tc>
        <w:tc>
          <w:tcPr>
            <w:tcW w:w="3311" w:type="dxa"/>
          </w:tcPr>
          <w:p w14:paraId="0ED9E6F0">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财务会计理论与实务</w:t>
            </w:r>
          </w:p>
        </w:tc>
      </w:tr>
      <w:tr w14:paraId="4F21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23AB6AE5">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选修课</w:t>
            </w:r>
          </w:p>
        </w:tc>
        <w:tc>
          <w:tcPr>
            <w:tcW w:w="3402" w:type="dxa"/>
          </w:tcPr>
          <w:p w14:paraId="04963B1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创新思维原理与方法</w:t>
            </w:r>
          </w:p>
        </w:tc>
        <w:tc>
          <w:tcPr>
            <w:tcW w:w="3311" w:type="dxa"/>
          </w:tcPr>
          <w:p w14:paraId="38C4D5E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商业伦理</w:t>
            </w:r>
          </w:p>
        </w:tc>
      </w:tr>
      <w:tr w14:paraId="5BDD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79E6D7E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57994F10">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旅游管理前沿</w:t>
            </w:r>
          </w:p>
        </w:tc>
        <w:tc>
          <w:tcPr>
            <w:tcW w:w="3311" w:type="dxa"/>
          </w:tcPr>
          <w:p w14:paraId="7BBAC4D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消费者行为理论</w:t>
            </w:r>
          </w:p>
        </w:tc>
      </w:tr>
      <w:tr w14:paraId="45E6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4A7D983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7102239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人力资源开发与管理</w:t>
            </w:r>
          </w:p>
        </w:tc>
        <w:tc>
          <w:tcPr>
            <w:tcW w:w="3311" w:type="dxa"/>
          </w:tcPr>
          <w:p w14:paraId="7E364A8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审计理论与实务</w:t>
            </w:r>
          </w:p>
        </w:tc>
      </w:tr>
    </w:tbl>
    <w:p w14:paraId="7DDD2694">
      <w:pPr>
        <w:pStyle w:val="4"/>
        <w:keepNext w:val="0"/>
        <w:keepLines w:val="0"/>
        <w:pageBreakBefore w:val="0"/>
        <w:kinsoku/>
        <w:wordWrap/>
        <w:overflowPunct/>
        <w:topLinePunct w:val="0"/>
        <w:autoSpaceDE/>
        <w:autoSpaceDN/>
        <w:bidi w:val="0"/>
        <w:adjustRightInd/>
        <w:snapToGrid w:val="0"/>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rPr>
      </w:pPr>
    </w:p>
    <w:p w14:paraId="68007B12">
      <w:pPr>
        <w:pStyle w:val="4"/>
        <w:keepNext w:val="0"/>
        <w:keepLines w:val="0"/>
        <w:pageBreakBefore w:val="0"/>
        <w:kinsoku/>
        <w:wordWrap/>
        <w:overflowPunct/>
        <w:topLinePunct w:val="0"/>
        <w:autoSpaceDE/>
        <w:autoSpaceDN/>
        <w:bidi w:val="0"/>
        <w:adjustRightInd/>
        <w:snapToGrid w:val="0"/>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注：部分课程教学参照</w:t>
      </w:r>
      <w:r>
        <w:rPr>
          <w:rFonts w:hint="eastAsia" w:asciiTheme="minorEastAsia" w:hAnsiTheme="minorEastAsia" w:eastAsiaTheme="minorEastAsia" w:cstheme="minorEastAsia"/>
          <w:sz w:val="21"/>
          <w:szCs w:val="21"/>
          <w:lang w:val="en-US" w:eastAsia="zh-CN"/>
        </w:rPr>
        <w:t>实际</w:t>
      </w:r>
    </w:p>
    <w:p w14:paraId="437FA0DF">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报名条件：</w:t>
      </w:r>
    </w:p>
    <w:p w14:paraId="42F66EB7">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拥护中华人民共和国宪法，遵守法律、法规，品行端正，在教学、科研、管理、行政、金融、商业等各个领域拥有一定工作经验和工作业绩的在职人员。</w:t>
      </w:r>
    </w:p>
    <w:p w14:paraId="283690F2">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报名人员必须符合下列条件之一：</w:t>
      </w:r>
    </w:p>
    <w:p w14:paraId="22347614">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大学本科毕业，获得本科毕业证书及学士学位（申请硕士学位须满3年）；</w:t>
      </w:r>
    </w:p>
    <w:p w14:paraId="15F957D2">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已获得硕士或博士学位；</w:t>
      </w:r>
    </w:p>
    <w:p w14:paraId="5F75570B">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已获得的学位为国（境）外学位的，须经教育部留学服务中心认证。</w:t>
      </w:r>
    </w:p>
    <w:p w14:paraId="5003A270">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本科毕业无学士学位，或大专学历者，可申请参加课程学习，修满学分可获得同等学力申请硕士学位课程结业证书，但不能申请硕士学位。</w:t>
      </w:r>
    </w:p>
    <w:p w14:paraId="74730876">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leftChars="150"/>
        <w:contextualSpacing/>
        <w:jc w:val="left"/>
        <w:textAlignment w:val="auto"/>
        <w:rPr>
          <w:rFonts w:hint="eastAsia" w:asciiTheme="minorEastAsia" w:hAnsiTheme="minorEastAsia" w:eastAsiaTheme="minorEastAsia"/>
          <w:b w:val="0"/>
          <w:bCs w:val="0"/>
          <w:sz w:val="21"/>
          <w:szCs w:val="21"/>
          <w:lang w:val="en-US" w:eastAsia="zh-CN"/>
        </w:rPr>
      </w:pPr>
    </w:p>
    <w:p w14:paraId="633DFCEE">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报名材料：</w:t>
      </w:r>
    </w:p>
    <w:p w14:paraId="43C0E26E">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本人身份证、本科毕业证、学士学位证书、2寸蓝底彩色照片；</w:t>
      </w:r>
    </w:p>
    <w:p w14:paraId="4B4C2827">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申请人在教学、科研、专门技术、管理方面做出成绩的有效证明材料；</w:t>
      </w:r>
    </w:p>
    <w:p w14:paraId="20841694">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val="0"/>
          <w:bCs w:val="0"/>
          <w:sz w:val="21"/>
          <w:szCs w:val="21"/>
          <w:lang w:val="en-US" w:eastAsia="zh-CN"/>
        </w:rPr>
        <w:t>申请报名登记表、《报名告知书》。</w:t>
      </w:r>
    </w:p>
    <w:p w14:paraId="043001A3">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leftChars="200"/>
        <w:contextualSpacing/>
        <w:jc w:val="left"/>
        <w:textAlignment w:val="auto"/>
        <w:rPr>
          <w:rFonts w:hint="eastAsia" w:asciiTheme="minorEastAsia" w:hAnsiTheme="minorEastAsia" w:eastAsiaTheme="minorEastAsia"/>
          <w:b/>
          <w:bCs/>
          <w:sz w:val="21"/>
          <w:szCs w:val="21"/>
          <w:lang w:val="en-US" w:eastAsia="zh-CN"/>
        </w:rPr>
      </w:pPr>
    </w:p>
    <w:p w14:paraId="25651C35">
      <w:pPr>
        <w:pStyle w:val="4"/>
        <w:numPr>
          <w:ilvl w:val="0"/>
          <w:numId w:val="1"/>
        </w:numPr>
        <w:snapToGrid w:val="0"/>
        <w:spacing w:line="360" w:lineRule="auto"/>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b/>
          <w:bCs/>
          <w:sz w:val="21"/>
          <w:szCs w:val="21"/>
          <w:lang w:val="en-US" w:eastAsia="zh-CN"/>
        </w:rPr>
        <w:t>培养方式和学制：</w:t>
      </w:r>
    </w:p>
    <w:p w14:paraId="68E1BC0B">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firstLine="420" w:firstLineChars="200"/>
        <w:contextualSpacing/>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教学方式：采用线上/线下授课，</w:t>
      </w:r>
      <w:r>
        <w:rPr>
          <w:rFonts w:hint="eastAsia" w:ascii="仿宋" w:hAnsi="仿宋" w:cs="仿宋"/>
          <w:b w:val="0"/>
          <w:bCs w:val="0"/>
          <w:color w:val="000000"/>
          <w:spacing w:val="1"/>
          <w:sz w:val="21"/>
          <w:szCs w:val="21"/>
          <w:lang w:val="en-US" w:eastAsia="zh-CN"/>
        </w:rPr>
        <w:t>（授课采取线上为主的方式教学）</w:t>
      </w:r>
      <w:r>
        <w:rPr>
          <w:rFonts w:hint="eastAsia" w:asciiTheme="minorEastAsia" w:hAnsiTheme="minorEastAsia" w:eastAsiaTheme="minorEastAsia" w:cstheme="minorEastAsia"/>
          <w:sz w:val="21"/>
          <w:szCs w:val="21"/>
          <w:lang w:val="en-US" w:eastAsia="zh-CN"/>
        </w:rPr>
        <w:t>；</w:t>
      </w:r>
    </w:p>
    <w:p w14:paraId="1B3DB5F4">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firstLine="420" w:firstLineChars="200"/>
        <w:contextualSpacing/>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学制：2年  </w:t>
      </w:r>
    </w:p>
    <w:p w14:paraId="4B18EFFD">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contextualSpacing/>
        <w:jc w:val="left"/>
        <w:textAlignment w:val="auto"/>
        <w:rPr>
          <w:rFonts w:hint="eastAsia" w:asciiTheme="minorEastAsia" w:hAnsiTheme="minorEastAsia" w:eastAsiaTheme="minorEastAsia" w:cstheme="minorEastAsia"/>
          <w:sz w:val="21"/>
          <w:szCs w:val="21"/>
          <w:lang w:val="en-US" w:eastAsia="zh-CN"/>
        </w:rPr>
      </w:pPr>
    </w:p>
    <w:p w14:paraId="02A13E93">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获取证书：</w:t>
      </w:r>
    </w:p>
    <w:p w14:paraId="03344EE4">
      <w:pPr>
        <w:pStyle w:val="4"/>
        <w:keepNext w:val="0"/>
        <w:keepLines w:val="0"/>
        <w:pageBreakBefore w:val="0"/>
        <w:widowControl/>
        <w:numPr>
          <w:ilvl w:val="0"/>
          <w:numId w:val="6"/>
        </w:numPr>
        <w:kinsoku/>
        <w:wordWrap/>
        <w:overflowPunct/>
        <w:topLinePunct w:val="0"/>
        <w:autoSpaceDE/>
        <w:autoSpaceDN/>
        <w:bidi w:val="0"/>
        <w:adjustRightInd/>
        <w:snapToGrid w:val="0"/>
        <w:spacing w:line="480" w:lineRule="auto"/>
        <w:ind w:firstLine="315" w:firstLineChars="150"/>
        <w:contextualSpacing/>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学员通过所报专业硕士研究生所有必修课程和选修课程考试，修满学分成绩合格，课程学习结束时发给武汉轻工大学硕士研究生课程班结业证书。</w:t>
      </w:r>
    </w:p>
    <w:p w14:paraId="04DC0EB5">
      <w:pPr>
        <w:pStyle w:val="4"/>
        <w:keepNext w:val="0"/>
        <w:keepLines w:val="0"/>
        <w:pageBreakBefore w:val="0"/>
        <w:widowControl/>
        <w:numPr>
          <w:ilvl w:val="0"/>
          <w:numId w:val="6"/>
        </w:numPr>
        <w:kinsoku/>
        <w:wordWrap/>
        <w:overflowPunct/>
        <w:topLinePunct w:val="0"/>
        <w:autoSpaceDE/>
        <w:autoSpaceDN/>
        <w:bidi w:val="0"/>
        <w:adjustRightInd/>
        <w:snapToGrid w:val="0"/>
        <w:spacing w:line="480" w:lineRule="auto"/>
        <w:ind w:left="0" w:leftChars="0" w:firstLine="315" w:firstLineChars="150"/>
        <w:contextualSpacing/>
        <w:textAlignment w:val="auto"/>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完成所有课程学习并且考核合格这，满足同等学力申请硕士学位条件学员，可参加全国统一考试，成绩合格达标者可进入学位论文写作阶段，论文通过评审、答辩，并经由我校学位评定委员会批准，可授予武汉轻工大学硕士学位。</w:t>
      </w:r>
    </w:p>
    <w:p w14:paraId="729EF21F">
      <w:pPr>
        <w:pStyle w:val="4"/>
        <w:keepNext w:val="0"/>
        <w:keepLines w:val="0"/>
        <w:pageBreakBefore w:val="0"/>
        <w:widowControl/>
        <w:numPr>
          <w:ilvl w:val="0"/>
          <w:numId w:val="0"/>
        </w:numPr>
        <w:kinsoku/>
        <w:wordWrap/>
        <w:overflowPunct/>
        <w:topLinePunct w:val="0"/>
        <w:autoSpaceDE/>
        <w:autoSpaceDN/>
        <w:bidi w:val="0"/>
        <w:adjustRightInd/>
        <w:snapToGrid w:val="0"/>
        <w:spacing w:line="480" w:lineRule="auto"/>
        <w:ind w:leftChars="150"/>
        <w:contextualSpacing/>
        <w:textAlignment w:val="auto"/>
        <w:rPr>
          <w:rFonts w:hint="eastAsia" w:asciiTheme="minorEastAsia" w:hAnsiTheme="minorEastAsia" w:cstheme="minorEastAsia"/>
          <w:kern w:val="0"/>
          <w:sz w:val="21"/>
          <w:szCs w:val="21"/>
          <w:lang w:val="en-US" w:eastAsia="zh-CN" w:bidi="ar-SA"/>
        </w:rPr>
      </w:pPr>
    </w:p>
    <w:p w14:paraId="66E78239">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收费标准：</w:t>
      </w:r>
    </w:p>
    <w:p w14:paraId="3FF06817">
      <w:pPr>
        <w:pStyle w:val="4"/>
        <w:numPr>
          <w:ilvl w:val="0"/>
          <w:numId w:val="0"/>
        </w:numPr>
        <w:snapToGrid w:val="0"/>
        <w:spacing w:line="360" w:lineRule="auto"/>
        <w:ind w:firstLine="420" w:firstLineChars="200"/>
        <w:contextualSpacing/>
      </w:pPr>
      <w:r>
        <w:rPr>
          <w:rFonts w:hint="eastAsia" w:ascii="宋体" w:hAnsi="宋体" w:eastAsia="宋体" w:cs="宋体"/>
          <w:b w:val="0"/>
          <w:bCs/>
          <w:color w:val="auto"/>
          <w:sz w:val="21"/>
          <w:szCs w:val="21"/>
          <w:lang w:val="en-US" w:eastAsia="zh-CN"/>
        </w:rPr>
        <w:t>学费缴纳分两段制进行，即课程学习阶段和撰写学位论文和论文答辩阶段，</w:t>
      </w:r>
      <w:r>
        <w:rPr>
          <w:rFonts w:hint="eastAsia" w:asciiTheme="minorEastAsia" w:hAnsiTheme="minorEastAsia" w:cstheme="minorEastAsia"/>
          <w:kern w:val="0"/>
          <w:sz w:val="21"/>
          <w:szCs w:val="21"/>
          <w:lang w:val="en-US" w:eastAsia="zh-CN" w:bidi="ar-SA"/>
        </w:rPr>
        <w:t>第一阶段：学费12000元和课程学习费用10000元；第二阶段：论文答辩16000元</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D7C68">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19700"/>
          <wp:effectExtent l="0" t="0" r="2540" b="0"/>
          <wp:wrapNone/>
          <wp:docPr id="3" name="WordPictureWatermark25249" descr="武汉轻工大学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25249" descr="武汉轻工大学1"/>
                  <pic:cNvPicPr>
                    <a:picLocks noChangeAspect="1"/>
                  </pic:cNvPicPr>
                </pic:nvPicPr>
                <pic:blipFill>
                  <a:blip r:embed="rId1">
                    <a:lum bright="69998" contrast="-70001"/>
                  </a:blip>
                  <a:stretch>
                    <a:fillRect/>
                  </a:stretch>
                </pic:blipFill>
                <pic:spPr>
                  <a:xfrm>
                    <a:off x="0" y="0"/>
                    <a:ext cx="5274310" cy="52197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B78AB"/>
    <w:multiLevelType w:val="singleLevel"/>
    <w:tmpl w:val="B3FB78AB"/>
    <w:lvl w:ilvl="0" w:tentative="0">
      <w:start w:val="1"/>
      <w:numFmt w:val="decimal"/>
      <w:suff w:val="nothing"/>
      <w:lvlText w:val="%1、"/>
      <w:lvlJc w:val="left"/>
    </w:lvl>
  </w:abstractNum>
  <w:abstractNum w:abstractNumId="1">
    <w:nsid w:val="BA04DF7C"/>
    <w:multiLevelType w:val="singleLevel"/>
    <w:tmpl w:val="BA04DF7C"/>
    <w:lvl w:ilvl="0" w:tentative="0">
      <w:start w:val="1"/>
      <w:numFmt w:val="decimal"/>
      <w:suff w:val="nothing"/>
      <w:lvlText w:val="%1、"/>
      <w:lvlJc w:val="left"/>
      <w:pPr>
        <w:ind w:left="210" w:leftChars="0" w:firstLine="0" w:firstLineChars="0"/>
      </w:pPr>
    </w:lvl>
  </w:abstractNum>
  <w:abstractNum w:abstractNumId="2">
    <w:nsid w:val="C000E8B9"/>
    <w:multiLevelType w:val="singleLevel"/>
    <w:tmpl w:val="C000E8B9"/>
    <w:lvl w:ilvl="0" w:tentative="0">
      <w:start w:val="1"/>
      <w:numFmt w:val="decimal"/>
      <w:suff w:val="nothing"/>
      <w:lvlText w:val="%1、"/>
      <w:lvlJc w:val="left"/>
      <w:pPr>
        <w:ind w:left="-212"/>
      </w:pPr>
      <w:rPr>
        <w:rFonts w:hint="default"/>
        <w:b/>
        <w:bCs/>
      </w:rPr>
    </w:lvl>
  </w:abstractNum>
  <w:abstractNum w:abstractNumId="3">
    <w:nsid w:val="FD979A40"/>
    <w:multiLevelType w:val="singleLevel"/>
    <w:tmpl w:val="FD979A40"/>
    <w:lvl w:ilvl="0" w:tentative="0">
      <w:start w:val="1"/>
      <w:numFmt w:val="chineseCounting"/>
      <w:suff w:val="nothing"/>
      <w:lvlText w:val="%1、"/>
      <w:lvlJc w:val="left"/>
      <w:rPr>
        <w:rFonts w:hint="eastAsia"/>
        <w:b/>
        <w:bCs/>
      </w:rPr>
    </w:lvl>
  </w:abstractNum>
  <w:abstractNum w:abstractNumId="4">
    <w:nsid w:val="0839793D"/>
    <w:multiLevelType w:val="singleLevel"/>
    <w:tmpl w:val="0839793D"/>
    <w:lvl w:ilvl="0" w:tentative="0">
      <w:start w:val="1"/>
      <w:numFmt w:val="decimal"/>
      <w:suff w:val="nothing"/>
      <w:lvlText w:val="（%1）"/>
      <w:lvlJc w:val="left"/>
    </w:lvl>
  </w:abstractNum>
  <w:abstractNum w:abstractNumId="5">
    <w:nsid w:val="4BE3664B"/>
    <w:multiLevelType w:val="singleLevel"/>
    <w:tmpl w:val="4BE3664B"/>
    <w:lvl w:ilvl="0" w:tentative="0">
      <w:start w:val="1"/>
      <w:numFmt w:val="decimal"/>
      <w:suff w:val="nothing"/>
      <w:lvlText w:val="%1、"/>
      <w:lvlJc w:val="left"/>
      <w:pPr>
        <w:ind w:left="316" w:leftChars="0" w:firstLine="0" w:firstLineChars="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0NTlmMjUyZTA5NGI0MDFiZGY2M2MwYzM3OTZkNTAifQ=="/>
  </w:docVars>
  <w:rsids>
    <w:rsidRoot w:val="3ECE6E3A"/>
    <w:rsid w:val="0F537BD5"/>
    <w:rsid w:val="11AD4468"/>
    <w:rsid w:val="15532E51"/>
    <w:rsid w:val="22721B2C"/>
    <w:rsid w:val="23BB208A"/>
    <w:rsid w:val="2C4527D5"/>
    <w:rsid w:val="2DAA4A7C"/>
    <w:rsid w:val="2E367E47"/>
    <w:rsid w:val="301937F3"/>
    <w:rsid w:val="33BD52AE"/>
    <w:rsid w:val="36DD1A1E"/>
    <w:rsid w:val="37441A9D"/>
    <w:rsid w:val="37E80974"/>
    <w:rsid w:val="3B7B730F"/>
    <w:rsid w:val="3BD96051"/>
    <w:rsid w:val="3E537B66"/>
    <w:rsid w:val="3ECE6E3A"/>
    <w:rsid w:val="40CB5A7A"/>
    <w:rsid w:val="41E22296"/>
    <w:rsid w:val="49C37F7C"/>
    <w:rsid w:val="4A0D4904"/>
    <w:rsid w:val="5338350A"/>
    <w:rsid w:val="540B13F1"/>
    <w:rsid w:val="572C0651"/>
    <w:rsid w:val="5A002E53"/>
    <w:rsid w:val="5D583B74"/>
    <w:rsid w:val="5F530220"/>
    <w:rsid w:val="5FE92FD3"/>
    <w:rsid w:val="625F4321"/>
    <w:rsid w:val="642F291A"/>
    <w:rsid w:val="70BD10FA"/>
    <w:rsid w:val="726C7A89"/>
    <w:rsid w:val="7289235E"/>
    <w:rsid w:val="757C2F18"/>
    <w:rsid w:val="78CF226D"/>
    <w:rsid w:val="7975353D"/>
    <w:rsid w:val="7B7B202A"/>
    <w:rsid w:val="7C7853F7"/>
    <w:rsid w:val="7D894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1702</Words>
  <Characters>1739</Characters>
  <Lines>0</Lines>
  <Paragraphs>0</Paragraphs>
  <TotalTime>4</TotalTime>
  <ScaleCrop>false</ScaleCrop>
  <LinksUpToDate>false</LinksUpToDate>
  <CharactersWithSpaces>1745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2022-09-05T01:10:00Z</dcterms:created>
  <dc:creator>Administrator</dc:creator>
  <cp:lastModifiedBy>Administrator</cp:lastModifiedBy>
  <dcterms:modified xsi:type="dcterms:W3CDTF">2026-01-15T07:55:07Z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5AA50A0E5227492C80289FE6776543CF</vt:lpwstr>
  </property>
  <property fmtid="{D5CDD505-2E9C-101B-9397-08002B2CF9AE}" pid="4" name="KSOTemplateDocerSaveRecord">
    <vt:lpwstr>eyJoZGlkIjoiMjJkYmYyOGQwNjU2YTFjYjBlYWQzZDdlZjc2Nzk1ZWYifQ==</vt:lpwstr>
  </property>
</Properties>
</file>