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0F838">
      <w:r>
        <w:drawing>
          <wp:inline distT="0" distB="0" distL="114300" distR="114300">
            <wp:extent cx="5270500" cy="1273810"/>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0500" cy="1273810"/>
                    </a:xfrm>
                    <a:prstGeom prst="rect">
                      <a:avLst/>
                    </a:prstGeom>
                    <a:noFill/>
                    <a:ln>
                      <a:noFill/>
                    </a:ln>
                  </pic:spPr>
                </pic:pic>
              </a:graphicData>
            </a:graphic>
          </wp:inline>
        </w:drawing>
      </w:r>
    </w:p>
    <w:p w14:paraId="7A0776E4"/>
    <w:p w14:paraId="188883C7">
      <w:pPr>
        <w:pStyle w:val="4"/>
        <w:snapToGrid w:val="0"/>
        <w:spacing w:line="360" w:lineRule="auto"/>
        <w:ind w:left="2459" w:leftChars="100" w:hanging="2249" w:hangingChars="700"/>
        <w:contextualSpacing/>
        <w:jc w:val="both"/>
        <w:rPr>
          <w:rFonts w:hint="eastAsia"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武汉轻工</w:t>
      </w:r>
      <w:r>
        <w:rPr>
          <w:rFonts w:asciiTheme="majorEastAsia" w:hAnsiTheme="majorEastAsia" w:eastAsiaTheme="majorEastAsia"/>
          <w:b/>
          <w:sz w:val="32"/>
          <w:szCs w:val="32"/>
        </w:rPr>
        <w:t>大学</w:t>
      </w:r>
      <w:r>
        <w:rPr>
          <w:rFonts w:hint="eastAsia" w:asciiTheme="majorEastAsia" w:hAnsiTheme="majorEastAsia" w:eastAsiaTheme="majorEastAsia"/>
          <w:b/>
          <w:sz w:val="32"/>
          <w:szCs w:val="32"/>
          <w:lang w:val="en-US" w:eastAsia="zh-CN"/>
        </w:rPr>
        <w:t>应用经济学同等学力申请硕士学位</w:t>
      </w:r>
      <w:r>
        <w:rPr>
          <w:rFonts w:asciiTheme="majorEastAsia" w:hAnsiTheme="majorEastAsia" w:eastAsiaTheme="majorEastAsia"/>
          <w:b/>
          <w:sz w:val="32"/>
          <w:szCs w:val="32"/>
        </w:rPr>
        <w:t>招生简章</w:t>
      </w:r>
    </w:p>
    <w:p w14:paraId="7FF469CC">
      <w:pPr>
        <w:pStyle w:val="4"/>
        <w:snapToGrid w:val="0"/>
        <w:spacing w:line="360" w:lineRule="auto"/>
        <w:ind w:left="2459" w:leftChars="100" w:hanging="2249" w:hangingChars="700"/>
        <w:contextualSpacing/>
        <w:jc w:val="center"/>
        <w:rPr>
          <w:rFonts w:hint="eastAsia" w:asciiTheme="majorEastAsia" w:hAnsiTheme="majorEastAsia" w:eastAsiaTheme="majorEastAsia"/>
          <w:b/>
          <w:sz w:val="32"/>
          <w:szCs w:val="32"/>
        </w:rPr>
      </w:pPr>
    </w:p>
    <w:p w14:paraId="2E25DEF0">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院校简介：</w:t>
      </w:r>
    </w:p>
    <w:p w14:paraId="44A44153">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武汉轻工大学创建于1951年，位于有“九省通衢”之称的湖北省武汉市，是全国最早培养粮食行业专门人才的学校，先后隶属于原国家粮食部、商业部、国内贸易部，1998年实行中央和地方共建，以湖北省管理为主的管理体制，是国家粮食和物资储备局与湖北省人民政府共建高校、湖北省国内一流学科建设高校和湖北省第一批本科招生高校。</w:t>
      </w:r>
    </w:p>
    <w:p w14:paraId="7AC1D734">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坚持以学科建设为龙头，大力实施“特色兴校”战略。聚焦“大食品大营养大健康”领域，形成了以工学为主体，农学和管理学为两翼，工、农、管、理、文、经、医、艺、法等多学科协调发展的格局。现有一级学科硕士点13个，二级学科硕士点70个，交叉学科硕士点3个，硕士专业学位授权点11个类别（16个领域），其中 “国内一流学科”1个，湖北省优势特色学科群4个，“农业科学”进入ESI全球排名前1%；学校拥有国家级、省（部）级科技创新平台55个，其中国家级平台2个、省（部）级重点实验室4个。</w:t>
      </w:r>
    </w:p>
    <w:p w14:paraId="6E082781">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武汉轻工大学经济学院成立于2021年，由1984年成立的原经济与管理学院经济类学科专业为主体组建，院设立“大数据金融拔尖人才基地班”，依托经济类专业及计算机科学相互交叉的学科群优势，突出金融学科发展中与大数据技术及其他专业融合发展的特点，把学生培养成为能适应现代金融企业发展要求的应用型复合型金融人才。现招收应用经济学专业研修课程培训班学员，为社会各界提供优秀硕士研究生专业人才。</w:t>
      </w:r>
    </w:p>
    <w:p w14:paraId="7DFFB992">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525" w:firstLineChars="250"/>
        <w:contextualSpacing/>
        <w:jc w:val="left"/>
        <w:textAlignment w:val="auto"/>
        <w:rPr>
          <w:rFonts w:hint="eastAsia" w:asciiTheme="minorEastAsia" w:hAnsiTheme="minorEastAsia" w:eastAsiaTheme="minorEastAsia"/>
          <w:b w:val="0"/>
          <w:bCs w:val="0"/>
          <w:sz w:val="21"/>
          <w:szCs w:val="21"/>
          <w:lang w:val="en-US" w:eastAsia="zh-CN"/>
        </w:rPr>
      </w:pPr>
    </w:p>
    <w:p w14:paraId="5AFF7826">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培养目标：</w:t>
      </w:r>
    </w:p>
    <w:p w14:paraId="5A73B721">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firstLine="316" w:firstLineChars="150"/>
        <w:contextualSpacing/>
        <w:jc w:val="left"/>
        <w:textAlignment w:val="auto"/>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 xml:space="preserve">   </w:t>
      </w:r>
      <w:r>
        <w:rPr>
          <w:rFonts w:hint="eastAsia" w:asciiTheme="minorEastAsia" w:hAnsiTheme="minorEastAsia" w:eastAsiaTheme="minorEastAsia"/>
          <w:b w:val="0"/>
          <w:bCs w:val="0"/>
          <w:sz w:val="21"/>
          <w:szCs w:val="21"/>
          <w:lang w:val="en-US" w:eastAsia="zh-CN"/>
        </w:rPr>
        <w:t>本专业主要通过学习和掌握经济学和管理学理论基础知识，了解本专业学术前沿和学术动态，掌握定量和定性分析方法及数据处理技术等，培养具有强烈事业心和社会责任感，能够掌握本学科坚实基础理论、系统的专业知识和必备的实践技能，善于提炼科学研究问题和具备一定的学术研究创新能力，培养能够在应用经济学专业开展学术研究和应用研究，适应工商企业和科研机构的教学和研究工作的专门人才。</w:t>
      </w:r>
    </w:p>
    <w:p w14:paraId="7F45F3AB">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培养优势：</w:t>
      </w:r>
    </w:p>
    <w:p w14:paraId="4BB1D157">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1F489D41">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4432341E">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学校大力实施“人才强校”战略，形成了一支理想信念坚定、道德情操高尚、知识功底扎实、富有仁爱之心的教</w:t>
      </w:r>
      <w:r>
        <w:rPr>
          <w:rFonts w:hint="eastAsia" w:asciiTheme="minorEastAsia" w:hAnsiTheme="minorEastAsia" w:eastAsiaTheme="minorEastAsia" w:cstheme="minorEastAsia"/>
          <w:b w:val="0"/>
          <w:bCs w:val="0"/>
          <w:sz w:val="21"/>
          <w:szCs w:val="21"/>
          <w:lang w:val="en-US" w:eastAsia="zh-CN"/>
        </w:rPr>
        <w:t>师队</w:t>
      </w:r>
      <w:r>
        <w:rPr>
          <w:rFonts w:hint="eastAsia" w:asciiTheme="minorEastAsia" w:hAnsiTheme="minorEastAsia" w:eastAsiaTheme="minorEastAsia" w:cstheme="minorEastAsia"/>
          <w:sz w:val="21"/>
          <w:szCs w:val="21"/>
          <w:lang w:val="en-US" w:eastAsia="zh-CN"/>
        </w:rPr>
        <w:t>伍；</w:t>
      </w:r>
    </w:p>
    <w:p w14:paraId="18FDC0EB">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【弹性学制】</w:t>
      </w:r>
      <w:r>
        <w:rPr>
          <w:rFonts w:hint="eastAsia" w:asciiTheme="minorEastAsia" w:hAnsiTheme="minorEastAsia" w:eastAsiaTheme="minorEastAsia" w:cstheme="minorEastAsia"/>
          <w:b w:val="0"/>
          <w:bCs w:val="0"/>
          <w:sz w:val="21"/>
          <w:szCs w:val="21"/>
          <w:lang w:val="en-US" w:eastAsia="zh-CN"/>
        </w:rPr>
        <w:t>：完成课业安排，只要达到申硕条件者，可申请每年参加同等学力申硕考试；</w:t>
      </w:r>
    </w:p>
    <w:p w14:paraId="79D0A98F">
      <w:pPr>
        <w:pStyle w:val="4"/>
        <w:numPr>
          <w:ilvl w:val="0"/>
          <w:numId w:val="2"/>
        </w:numPr>
        <w:snapToGrid w:val="0"/>
        <w:spacing w:line="360" w:lineRule="auto"/>
        <w:ind w:left="-212" w:leftChars="0" w:firstLine="422" w:firstLineChars="0"/>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结交高端人脉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2B938A4F">
      <w:pPr>
        <w:pStyle w:val="4"/>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1"/>
          <w:szCs w:val="21"/>
          <w:lang w:val="en-US" w:eastAsia="zh-CN"/>
        </w:rPr>
      </w:pPr>
    </w:p>
    <w:p w14:paraId="6BAC251B">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课程设置：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208D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470D59E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应用经济学</w:t>
            </w:r>
            <w:r>
              <w:rPr>
                <w:rFonts w:hint="eastAsia" w:asciiTheme="minorEastAsia" w:hAnsiTheme="minorEastAsia" w:eastAsiaTheme="minorEastAsia" w:cstheme="minorEastAsia"/>
                <w:b/>
                <w:sz w:val="21"/>
                <w:szCs w:val="21"/>
              </w:rPr>
              <w:t>专业课程</w:t>
            </w:r>
          </w:p>
        </w:tc>
      </w:tr>
      <w:tr w14:paraId="2775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6F4769B3">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公共学位课</w:t>
            </w:r>
          </w:p>
        </w:tc>
        <w:tc>
          <w:tcPr>
            <w:tcW w:w="3402" w:type="dxa"/>
          </w:tcPr>
          <w:p w14:paraId="21599DF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中国特色社会主义理论与实践</w:t>
            </w:r>
          </w:p>
        </w:tc>
        <w:tc>
          <w:tcPr>
            <w:tcW w:w="3311" w:type="dxa"/>
          </w:tcPr>
          <w:p w14:paraId="72CFA1A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基础</w:t>
            </w:r>
            <w:r>
              <w:rPr>
                <w:rFonts w:hint="eastAsia" w:asciiTheme="minorEastAsia" w:hAnsiTheme="minorEastAsia" w:eastAsiaTheme="minorEastAsia" w:cstheme="minorEastAsia"/>
                <w:sz w:val="21"/>
                <w:szCs w:val="21"/>
                <w:lang w:val="en-US" w:eastAsia="zh-CN"/>
              </w:rPr>
              <w:t>英语</w:t>
            </w:r>
          </w:p>
        </w:tc>
      </w:tr>
      <w:tr w14:paraId="5F53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8A3A9D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8B8CF3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马克思主义与社会科学方法论</w:t>
            </w:r>
          </w:p>
        </w:tc>
        <w:tc>
          <w:tcPr>
            <w:tcW w:w="3311" w:type="dxa"/>
          </w:tcPr>
          <w:p w14:paraId="1A87076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专业英语</w:t>
            </w:r>
          </w:p>
        </w:tc>
      </w:tr>
      <w:tr w14:paraId="5ABB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079CC17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1B6A59C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中级微观经济学</w:t>
            </w:r>
          </w:p>
        </w:tc>
        <w:tc>
          <w:tcPr>
            <w:tcW w:w="3311" w:type="dxa"/>
          </w:tcPr>
          <w:p w14:paraId="6A93E45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中级宏观经济学</w:t>
            </w:r>
          </w:p>
        </w:tc>
      </w:tr>
      <w:tr w14:paraId="6D68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52299A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3A92BC0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经济研究方法</w:t>
            </w:r>
          </w:p>
        </w:tc>
        <w:tc>
          <w:tcPr>
            <w:tcW w:w="3311" w:type="dxa"/>
          </w:tcPr>
          <w:p w14:paraId="7E69982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计量经济学</w:t>
            </w:r>
          </w:p>
        </w:tc>
      </w:tr>
      <w:tr w14:paraId="7203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6BC9414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F52830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高级国际经济学</w:t>
            </w:r>
          </w:p>
        </w:tc>
        <w:tc>
          <w:tcPr>
            <w:tcW w:w="3311" w:type="dxa"/>
          </w:tcPr>
          <w:p w14:paraId="1CB36F8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国际贸易理论与政策专题</w:t>
            </w:r>
          </w:p>
        </w:tc>
      </w:tr>
      <w:tr w14:paraId="4182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4A3F6C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D31D4A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金融经济学</w:t>
            </w:r>
          </w:p>
        </w:tc>
        <w:tc>
          <w:tcPr>
            <w:tcW w:w="3311" w:type="dxa"/>
          </w:tcPr>
          <w:p w14:paraId="3C46098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产业经济学</w:t>
            </w:r>
          </w:p>
        </w:tc>
      </w:tr>
      <w:tr w14:paraId="6477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1E3B3EED">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1BBFE6F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创新思维原理与方法</w:t>
            </w:r>
          </w:p>
        </w:tc>
        <w:tc>
          <w:tcPr>
            <w:tcW w:w="3311" w:type="dxa"/>
          </w:tcPr>
          <w:p w14:paraId="68C4C80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博弈论</w:t>
            </w:r>
          </w:p>
        </w:tc>
      </w:tr>
      <w:tr w14:paraId="1E4E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2E78F25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C8CB64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国际投资学</w:t>
            </w:r>
          </w:p>
        </w:tc>
        <w:tc>
          <w:tcPr>
            <w:tcW w:w="3311" w:type="dxa"/>
          </w:tcPr>
          <w:p w14:paraId="4D156A5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现代应急管理学</w:t>
            </w:r>
          </w:p>
        </w:tc>
      </w:tr>
      <w:tr w14:paraId="10F8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230712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F3226D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公共财政学</w:t>
            </w:r>
          </w:p>
        </w:tc>
        <w:tc>
          <w:tcPr>
            <w:tcW w:w="3311" w:type="dxa"/>
          </w:tcPr>
          <w:p w14:paraId="3AB8A10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食物经济与政策</w:t>
            </w:r>
          </w:p>
        </w:tc>
      </w:tr>
    </w:tbl>
    <w:p w14:paraId="6CCF35BD">
      <w:pPr>
        <w:pStyle w:val="4"/>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6B85FDCE">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报名条件：</w:t>
      </w:r>
    </w:p>
    <w:p w14:paraId="60716781">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拥护中华人民共和国宪法，遵守法律、法规，品行端正，在教学、科研、管理、行政、金融、商业等各个领域拥有一定工作经验和工作业绩的在职人员。</w:t>
      </w:r>
    </w:p>
    <w:p w14:paraId="14DE9A5F">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报名人员必须符合下列条件之一：</w:t>
      </w:r>
    </w:p>
    <w:p w14:paraId="28E8314A">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大学本科毕业，获得本科毕业证书及学士学位（申请硕士学位须满3年）；</w:t>
      </w:r>
    </w:p>
    <w:p w14:paraId="43CD5486">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已获得硕士或博士学位；</w:t>
      </w:r>
    </w:p>
    <w:p w14:paraId="0FE4B711">
      <w:pPr>
        <w:pStyle w:val="4"/>
        <w:keepNext w:val="0"/>
        <w:keepLines w:val="0"/>
        <w:pageBreakBefore w:val="0"/>
        <w:widowControl/>
        <w:numPr>
          <w:ilvl w:val="0"/>
          <w:numId w:val="4"/>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已获得的学位为国（境）外学位的，须经教育部留学服务中心认证。</w:t>
      </w:r>
    </w:p>
    <w:p w14:paraId="29ABA1E7">
      <w:pPr>
        <w:pStyle w:val="4"/>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80" w:lineRule="auto"/>
        <w:ind w:left="210" w:leftChars="0" w:firstLine="315" w:firstLineChars="150"/>
        <w:contextualSpacing/>
        <w:jc w:val="left"/>
        <w:textAlignment w:val="auto"/>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本科毕业无学士学位，或大专学历者，可申请参加课程学习，修满学分可获得同等学力申请硕士学位课程结业证书，但不能申请硕士学位。</w:t>
      </w:r>
    </w:p>
    <w:p w14:paraId="1B810101">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480" w:lineRule="auto"/>
        <w:ind w:leftChars="150"/>
        <w:contextualSpacing/>
        <w:jc w:val="left"/>
        <w:textAlignment w:val="auto"/>
        <w:rPr>
          <w:rFonts w:hint="eastAsia" w:asciiTheme="minorEastAsia" w:hAnsiTheme="minorEastAsia" w:eastAsiaTheme="minorEastAsia"/>
          <w:b w:val="0"/>
          <w:bCs w:val="0"/>
          <w:sz w:val="21"/>
          <w:szCs w:val="21"/>
          <w:lang w:val="en-US" w:eastAsia="zh-CN"/>
        </w:rPr>
      </w:pPr>
    </w:p>
    <w:p w14:paraId="6FADAA46">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报名材料：</w:t>
      </w:r>
    </w:p>
    <w:p w14:paraId="2F851524">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本人身份证、本科毕业证、学士学位证书、2寸蓝底彩色照片；</w:t>
      </w:r>
    </w:p>
    <w:p w14:paraId="735E00E1">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default"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申请人在教学、科研、专门技术、管理方面做出成绩的有效证明材料；</w:t>
      </w:r>
    </w:p>
    <w:p w14:paraId="63D21DAA">
      <w:pPr>
        <w:pStyle w:val="4"/>
        <w:keepNext w:val="0"/>
        <w:keepLines w:val="0"/>
        <w:pageBreakBefore w:val="0"/>
        <w:widowControl/>
        <w:numPr>
          <w:ilvl w:val="0"/>
          <w:numId w:val="5"/>
        </w:numPr>
        <w:kinsoku/>
        <w:wordWrap/>
        <w:overflowPunct/>
        <w:topLinePunct w:val="0"/>
        <w:autoSpaceDE/>
        <w:autoSpaceDN/>
        <w:bidi w:val="0"/>
        <w:adjustRightInd/>
        <w:snapToGrid w:val="0"/>
        <w:spacing w:before="100" w:beforeAutospacing="1" w:after="100" w:afterAutospacing="1" w:line="360" w:lineRule="auto"/>
        <w:ind w:left="317" w:leftChars="0" w:firstLine="420" w:firstLineChars="200"/>
        <w:contextualSpacing/>
        <w:jc w:val="left"/>
        <w:textAlignment w:val="auto"/>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val="0"/>
          <w:bCs w:val="0"/>
          <w:sz w:val="21"/>
          <w:szCs w:val="21"/>
          <w:lang w:val="en-US" w:eastAsia="zh-CN"/>
        </w:rPr>
        <w:t>申请报名登记表、《报名告知书》。</w:t>
      </w:r>
    </w:p>
    <w:p w14:paraId="1289C93F">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leftChars="200"/>
        <w:contextualSpacing/>
        <w:jc w:val="left"/>
        <w:textAlignment w:val="auto"/>
        <w:rPr>
          <w:rFonts w:hint="eastAsia" w:asciiTheme="minorEastAsia" w:hAnsiTheme="minorEastAsia" w:eastAsiaTheme="minorEastAsia"/>
          <w:b/>
          <w:bCs/>
          <w:sz w:val="21"/>
          <w:szCs w:val="21"/>
          <w:lang w:val="en-US" w:eastAsia="zh-CN"/>
        </w:rPr>
      </w:pPr>
    </w:p>
    <w:p w14:paraId="354FF367">
      <w:pPr>
        <w:pStyle w:val="4"/>
        <w:numPr>
          <w:ilvl w:val="0"/>
          <w:numId w:val="1"/>
        </w:numPr>
        <w:snapToGrid w:val="0"/>
        <w:spacing w:line="360" w:lineRule="auto"/>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b/>
          <w:bCs/>
          <w:sz w:val="21"/>
          <w:szCs w:val="21"/>
          <w:lang w:val="en-US" w:eastAsia="zh-CN"/>
        </w:rPr>
        <w:t>培养方式和学制：</w:t>
      </w:r>
    </w:p>
    <w:p w14:paraId="21393E2E">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16C6F618">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ind w:firstLine="420" w:firstLineChars="200"/>
        <w:contextualSpacing/>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学制：2年</w:t>
      </w:r>
    </w:p>
    <w:p w14:paraId="09FFC8F7">
      <w:pPr>
        <w:pStyle w:val="4"/>
        <w:keepNext w:val="0"/>
        <w:keepLines w:val="0"/>
        <w:pageBreakBefore w:val="0"/>
        <w:widowControl/>
        <w:numPr>
          <w:ilvl w:val="0"/>
          <w:numId w:val="0"/>
        </w:numPr>
        <w:kinsoku/>
        <w:wordWrap/>
        <w:overflowPunct/>
        <w:topLinePunct w:val="0"/>
        <w:autoSpaceDE/>
        <w:autoSpaceDN/>
        <w:bidi w:val="0"/>
        <w:adjustRightInd/>
        <w:snapToGrid w:val="0"/>
        <w:spacing w:before="100" w:beforeAutospacing="1" w:after="100" w:afterAutospacing="1" w:line="360" w:lineRule="auto"/>
        <w:contextualSpacing/>
        <w:jc w:val="left"/>
        <w:textAlignment w:val="auto"/>
        <w:rPr>
          <w:rFonts w:hint="eastAsia" w:asciiTheme="minorEastAsia" w:hAnsiTheme="minorEastAsia" w:eastAsiaTheme="minorEastAsia" w:cstheme="minorEastAsia"/>
          <w:sz w:val="21"/>
          <w:szCs w:val="21"/>
          <w:lang w:val="en-US" w:eastAsia="zh-CN"/>
        </w:rPr>
      </w:pPr>
    </w:p>
    <w:p w14:paraId="42998048">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获取证书：</w:t>
      </w:r>
    </w:p>
    <w:p w14:paraId="2471F90A">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firstLine="315" w:firstLineChars="150"/>
        <w:contextualSpacing/>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学员通过所报专业硕士研究生所有必修课程和选修课程考试，修满学分成绩合格，课程学习结束时发给武汉轻工大学硕士研究生课程班结业证书。</w:t>
      </w:r>
    </w:p>
    <w:p w14:paraId="1F1127E3">
      <w:pPr>
        <w:pStyle w:val="4"/>
        <w:keepNext w:val="0"/>
        <w:keepLines w:val="0"/>
        <w:pageBreakBefore w:val="0"/>
        <w:widowControl/>
        <w:numPr>
          <w:ilvl w:val="0"/>
          <w:numId w:val="6"/>
        </w:numPr>
        <w:kinsoku/>
        <w:wordWrap/>
        <w:overflowPunct/>
        <w:topLinePunct w:val="0"/>
        <w:autoSpaceDE/>
        <w:autoSpaceDN/>
        <w:bidi w:val="0"/>
        <w:adjustRightInd/>
        <w:snapToGrid w:val="0"/>
        <w:spacing w:line="480" w:lineRule="auto"/>
        <w:ind w:left="0" w:leftChars="0" w:firstLine="315" w:firstLineChars="150"/>
        <w:contextualSpacing/>
        <w:textAlignment w:val="auto"/>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完成所有课程学习并且考核合格这，满足同等学力申请硕士学位条件学员，可参加全国统一考试，成绩合格达标者可进入学位论文写作阶段，论文通过评审、答辩，并经由我校学位评定委员会批准，可授予武汉轻工大学硕士学位。</w:t>
      </w:r>
    </w:p>
    <w:p w14:paraId="4EC1EB01">
      <w:pPr>
        <w:pStyle w:val="4"/>
        <w:keepNext w:val="0"/>
        <w:keepLines w:val="0"/>
        <w:pageBreakBefore w:val="0"/>
        <w:widowControl/>
        <w:numPr>
          <w:ilvl w:val="0"/>
          <w:numId w:val="0"/>
        </w:numPr>
        <w:kinsoku/>
        <w:wordWrap/>
        <w:overflowPunct/>
        <w:topLinePunct w:val="0"/>
        <w:autoSpaceDE/>
        <w:autoSpaceDN/>
        <w:bidi w:val="0"/>
        <w:adjustRightInd/>
        <w:snapToGrid w:val="0"/>
        <w:spacing w:line="480" w:lineRule="auto"/>
        <w:ind w:leftChars="150"/>
        <w:contextualSpacing/>
        <w:textAlignment w:val="auto"/>
        <w:rPr>
          <w:rFonts w:hint="eastAsia" w:asciiTheme="minorEastAsia" w:hAnsiTheme="minorEastAsia" w:cstheme="minorEastAsia"/>
          <w:kern w:val="0"/>
          <w:sz w:val="21"/>
          <w:szCs w:val="21"/>
          <w:lang w:val="en-US" w:eastAsia="zh-CN" w:bidi="ar-SA"/>
        </w:rPr>
      </w:pPr>
    </w:p>
    <w:p w14:paraId="6E9A579F">
      <w:pPr>
        <w:pStyle w:val="4"/>
        <w:numPr>
          <w:ilvl w:val="0"/>
          <w:numId w:val="1"/>
        </w:numPr>
        <w:snapToGrid w:val="0"/>
        <w:spacing w:line="360" w:lineRule="auto"/>
        <w:contextualSpacing/>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收费标准：</w:t>
      </w:r>
    </w:p>
    <w:p w14:paraId="2A911B9F">
      <w:pPr>
        <w:pStyle w:val="4"/>
        <w:numPr>
          <w:ilvl w:val="0"/>
          <w:numId w:val="0"/>
        </w:numPr>
        <w:snapToGrid w:val="0"/>
        <w:spacing w:line="360" w:lineRule="auto"/>
        <w:ind w:firstLine="420" w:firstLineChars="200"/>
        <w:contextualSpacing/>
      </w:pPr>
      <w:r>
        <w:rPr>
          <w:rFonts w:hint="eastAsia" w:ascii="宋体" w:hAnsi="宋体" w:eastAsia="宋体" w:cs="宋体"/>
          <w:b w:val="0"/>
          <w:bCs/>
          <w:color w:val="auto"/>
          <w:sz w:val="21"/>
          <w:szCs w:val="21"/>
          <w:lang w:val="en-US" w:eastAsia="zh-CN"/>
        </w:rPr>
        <w:t>学费缴纳分两段制进行，即课程学习阶段和撰写学位论文和论文答辩阶段，</w:t>
      </w:r>
      <w:r>
        <w:rPr>
          <w:rFonts w:hint="eastAsia" w:asciiTheme="minorEastAsia" w:hAnsiTheme="minorEastAsia" w:cstheme="minorEastAsia"/>
          <w:kern w:val="0"/>
          <w:sz w:val="21"/>
          <w:szCs w:val="21"/>
          <w:lang w:val="en-US" w:eastAsia="zh-CN" w:bidi="ar-SA"/>
        </w:rPr>
        <w:t>第一阶段：学费12000元和课程学习费用10000元；第二阶段：论文答辩16000元。</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42411">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19700"/>
          <wp:effectExtent l="0" t="0" r="2540" b="0"/>
          <wp:wrapNone/>
          <wp:docPr id="3" name="WordPictureWatermark25249" descr="武汉轻工大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25249" descr="武汉轻工大学1"/>
                  <pic:cNvPicPr>
                    <a:picLocks noChangeAspect="1"/>
                  </pic:cNvPicPr>
                </pic:nvPicPr>
                <pic:blipFill>
                  <a:blip r:embed="rId1">
                    <a:lum bright="69998" contrast="-70001"/>
                  </a:blip>
                  <a:stretch>
                    <a:fillRect/>
                  </a:stretch>
                </pic:blipFill>
                <pic:spPr>
                  <a:xfrm>
                    <a:off x="0" y="0"/>
                    <a:ext cx="5274310" cy="5219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BA04DF7C"/>
    <w:multiLevelType w:val="singleLevel"/>
    <w:tmpl w:val="BA04DF7C"/>
    <w:lvl w:ilvl="0" w:tentative="0">
      <w:start w:val="1"/>
      <w:numFmt w:val="decimal"/>
      <w:suff w:val="nothing"/>
      <w:lvlText w:val="%1、"/>
      <w:lvlJc w:val="left"/>
      <w:pPr>
        <w:ind w:left="210" w:leftChars="0" w:firstLine="0" w:firstLineChars="0"/>
      </w:pPr>
    </w:lvl>
  </w:abstractNum>
  <w:abstractNum w:abstractNumId="2">
    <w:nsid w:val="C000E8B9"/>
    <w:multiLevelType w:val="singleLevel"/>
    <w:tmpl w:val="C000E8B9"/>
    <w:lvl w:ilvl="0" w:tentative="0">
      <w:start w:val="1"/>
      <w:numFmt w:val="decimal"/>
      <w:suff w:val="nothing"/>
      <w:lvlText w:val="%1、"/>
      <w:lvlJc w:val="left"/>
      <w:pPr>
        <w:ind w:left="-212"/>
      </w:pPr>
      <w:rPr>
        <w:rFonts w:hint="default"/>
        <w:b/>
        <w:bCs/>
      </w:rPr>
    </w:lvl>
  </w:abstractNum>
  <w:abstractNum w:abstractNumId="3">
    <w:nsid w:val="FD979A40"/>
    <w:multiLevelType w:val="singleLevel"/>
    <w:tmpl w:val="FD979A40"/>
    <w:lvl w:ilvl="0" w:tentative="0">
      <w:start w:val="1"/>
      <w:numFmt w:val="chineseCounting"/>
      <w:suff w:val="nothing"/>
      <w:lvlText w:val="%1、"/>
      <w:lvlJc w:val="left"/>
      <w:rPr>
        <w:rFonts w:hint="eastAsia"/>
        <w:b/>
        <w:bCs/>
      </w:rPr>
    </w:lvl>
  </w:abstractNum>
  <w:abstractNum w:abstractNumId="4">
    <w:nsid w:val="0839793D"/>
    <w:multiLevelType w:val="singleLevel"/>
    <w:tmpl w:val="0839793D"/>
    <w:lvl w:ilvl="0" w:tentative="0">
      <w:start w:val="1"/>
      <w:numFmt w:val="decimal"/>
      <w:suff w:val="nothing"/>
      <w:lvlText w:val="（%1）"/>
      <w:lvlJc w:val="left"/>
    </w:lvl>
  </w:abstractNum>
  <w:abstractNum w:abstractNumId="5">
    <w:nsid w:val="4BE3664B"/>
    <w:multiLevelType w:val="singleLevel"/>
    <w:tmpl w:val="4BE3664B"/>
    <w:lvl w:ilvl="0" w:tentative="0">
      <w:start w:val="1"/>
      <w:numFmt w:val="decimal"/>
      <w:suff w:val="nothing"/>
      <w:lvlText w:val="%1、"/>
      <w:lvlJc w:val="left"/>
      <w:pPr>
        <w:ind w:left="316" w:leftChars="0" w:firstLine="0" w:firstLineChars="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NTlmMjUyZTA5NGI0MDFiZGY2M2MwYzM3OTZkNTAifQ=="/>
  </w:docVars>
  <w:rsids>
    <w:rsidRoot w:val="3ECE6E3A"/>
    <w:rsid w:val="2CD452EB"/>
    <w:rsid w:val="3543155B"/>
    <w:rsid w:val="3ECE6E3A"/>
    <w:rsid w:val="40CB5A7A"/>
    <w:rsid w:val="4602165C"/>
    <w:rsid w:val="59241257"/>
    <w:rsid w:val="5FE92FD3"/>
    <w:rsid w:val="625F4321"/>
    <w:rsid w:val="66884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1780</Words>
  <Characters>1816</Characters>
  <Lines>0</Lines>
  <Paragraphs>0</Paragraphs>
  <TotalTime>0</TotalTime>
  <ScaleCrop>false</ScaleCrop>
  <LinksUpToDate>false</LinksUpToDate>
  <CharactersWithSpaces>1823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2022-09-05T01:10:00Z</dcterms:created>
  <dc:creator>Administrator</dc:creator>
  <cp:lastModifiedBy>Administrator</cp:lastModifiedBy>
  <dcterms:modified xsi:type="dcterms:W3CDTF">2026-01-15T07:58:12Z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F02F3826713D4C16BFE2F77DD24FFE17</vt:lpwstr>
  </property>
  <property fmtid="{D5CDD505-2E9C-101B-9397-08002B2CF9AE}" pid="4" name="KSOTemplateDocerSaveRecord">
    <vt:lpwstr>eyJoZGlkIjoiMjJkYmYyOGQwNjU2YTFjYjBlYWQzZDdlZjc2Nzk1ZWYifQ==</vt:lpwstr>
  </property>
</Properties>
</file>