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2768D">
      <w:r>
        <w:drawing>
          <wp:inline distT="0" distB="0" distL="114300" distR="114300">
            <wp:extent cx="5270500" cy="1273810"/>
            <wp:effectExtent l="0" t="0" r="635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0500" cy="1273810"/>
                    </a:xfrm>
                    <a:prstGeom prst="rect">
                      <a:avLst/>
                    </a:prstGeom>
                    <a:noFill/>
                    <a:ln>
                      <a:noFill/>
                    </a:ln>
                  </pic:spPr>
                </pic:pic>
              </a:graphicData>
            </a:graphic>
          </wp:inline>
        </w:drawing>
      </w:r>
    </w:p>
    <w:p w14:paraId="0FDBC818"/>
    <w:p w14:paraId="4F8948F2">
      <w:pPr>
        <w:pStyle w:val="4"/>
        <w:snapToGrid w:val="0"/>
        <w:spacing w:line="360" w:lineRule="auto"/>
        <w:contextualSpacing/>
        <w:jc w:val="center"/>
        <w:rPr>
          <w:rFonts w:hint="eastAsia" w:asciiTheme="majorEastAsia" w:hAnsiTheme="majorEastAsia" w:eastAsiaTheme="majorEastAsia"/>
          <w:b/>
          <w:sz w:val="36"/>
          <w:szCs w:val="36"/>
          <w:lang w:val="en-US" w:eastAsia="zh-CN"/>
        </w:rPr>
      </w:pPr>
      <w:r>
        <w:rPr>
          <w:rFonts w:hint="eastAsia" w:asciiTheme="majorEastAsia" w:hAnsiTheme="majorEastAsia" w:eastAsiaTheme="majorEastAsia"/>
          <w:b/>
          <w:sz w:val="36"/>
          <w:szCs w:val="36"/>
          <w:lang w:val="en-US" w:eastAsia="zh-CN"/>
        </w:rPr>
        <w:t>武汉轻工</w:t>
      </w:r>
      <w:r>
        <w:rPr>
          <w:rFonts w:asciiTheme="majorEastAsia" w:hAnsiTheme="majorEastAsia" w:eastAsiaTheme="majorEastAsia"/>
          <w:b/>
          <w:sz w:val="36"/>
          <w:szCs w:val="36"/>
        </w:rPr>
        <w:t>大学</w:t>
      </w:r>
      <w:r>
        <w:rPr>
          <w:rFonts w:hint="eastAsia" w:asciiTheme="majorEastAsia" w:hAnsiTheme="majorEastAsia" w:eastAsiaTheme="majorEastAsia"/>
          <w:b/>
          <w:sz w:val="36"/>
          <w:szCs w:val="36"/>
          <w:lang w:val="en-US" w:eastAsia="zh-CN"/>
        </w:rPr>
        <w:t>马克思主义理论同等学力</w:t>
      </w:r>
    </w:p>
    <w:p w14:paraId="4EB962E3">
      <w:pPr>
        <w:pStyle w:val="4"/>
        <w:snapToGrid w:val="0"/>
        <w:spacing w:line="360" w:lineRule="auto"/>
        <w:contextualSpacing/>
        <w:jc w:val="center"/>
        <w:rPr>
          <w:rFonts w:hint="eastAsia" w:asciiTheme="majorEastAsia" w:hAnsiTheme="majorEastAsia" w:eastAsiaTheme="majorEastAsia"/>
          <w:b/>
          <w:sz w:val="36"/>
          <w:szCs w:val="36"/>
        </w:rPr>
      </w:pPr>
      <w:r>
        <w:rPr>
          <w:rFonts w:hint="eastAsia" w:asciiTheme="majorEastAsia" w:hAnsiTheme="majorEastAsia" w:eastAsiaTheme="majorEastAsia"/>
          <w:b/>
          <w:sz w:val="36"/>
          <w:szCs w:val="36"/>
          <w:lang w:val="en-US" w:eastAsia="zh-CN"/>
        </w:rPr>
        <w:t>申请硕士学位</w:t>
      </w:r>
      <w:r>
        <w:rPr>
          <w:rFonts w:asciiTheme="majorEastAsia" w:hAnsiTheme="majorEastAsia" w:eastAsiaTheme="majorEastAsia"/>
          <w:b/>
          <w:sz w:val="36"/>
          <w:szCs w:val="36"/>
        </w:rPr>
        <w:t>招生简章</w:t>
      </w:r>
    </w:p>
    <w:p w14:paraId="6BC57FE5">
      <w:pPr>
        <w:pStyle w:val="4"/>
        <w:snapToGrid w:val="0"/>
        <w:spacing w:line="360" w:lineRule="auto"/>
        <w:ind w:left="2459" w:leftChars="100" w:hanging="2249" w:hangingChars="700"/>
        <w:contextualSpacing/>
        <w:jc w:val="center"/>
        <w:rPr>
          <w:rFonts w:hint="eastAsia" w:asciiTheme="majorEastAsia" w:hAnsiTheme="majorEastAsia" w:eastAsiaTheme="majorEastAsia"/>
          <w:b/>
          <w:sz w:val="32"/>
          <w:szCs w:val="32"/>
        </w:rPr>
      </w:pPr>
    </w:p>
    <w:p w14:paraId="2624B301">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院校简介：</w:t>
      </w:r>
    </w:p>
    <w:p w14:paraId="267B7D9D">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武汉轻工大学创建于1951年，位于有“九省通衢”之称的湖北省武汉市，是全国最早培养粮食行业专门人才的学校，先后隶属于原国家粮食部、商业部、国内贸易部，1998年实行中央和地方共建，以湖北省管理为主的管理体制，是国家粮食和物资储备局与湖北省人民政府共建高校、湖北省国内一流学科建设高校和湖北省第一批本科招生高校。</w:t>
      </w:r>
    </w:p>
    <w:p w14:paraId="45044628">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学校坚持以学科建设为龙头，大力实施“特色兴校”战略。聚焦“大食品大营养大健康”领域，形成了以工学为主体，农学和管理学为两翼，工、农、管、理、文、经、医、艺、法等多学科协调发展的格局。现有一级学科硕士点13个，二级学科硕士点70个，交叉学科硕士点3个，硕士专业学位授权点11个类别（16个领域），其中 “国内一流学科”1个，湖北省优势特色学科群4个，“农业科学”进入ESI全球排名前1%；学校拥有国家级、省（部）级科技创新平台55个，其中国家级平台2个、省（部）级重点实验室4个。</w:t>
      </w:r>
    </w:p>
    <w:p w14:paraId="0792A077">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马克思主义学院承担着全校思想政治理论课的教学科研任务，充分发挥着思政课教学在对大学生进行思想政治教育工作中的主渠道和主阵地作用。学院长期重视思想政治理论课教育教学工作，承担的全校四门大学生思想政治理论课教学效果显著。现招收</w:t>
      </w:r>
      <w:bookmarkStart w:id="0" w:name="_GoBack"/>
      <w:bookmarkEnd w:id="0"/>
      <w:r>
        <w:rPr>
          <w:rFonts w:hint="eastAsia" w:asciiTheme="minorEastAsia" w:hAnsiTheme="minorEastAsia" w:eastAsiaTheme="minorEastAsia"/>
          <w:b w:val="0"/>
          <w:bCs w:val="0"/>
          <w:sz w:val="21"/>
          <w:szCs w:val="21"/>
          <w:lang w:val="en-US" w:eastAsia="zh-CN"/>
        </w:rPr>
        <w:t>马克思主义理论专业研修课程培训班学员，为社会各界提供优秀硕士研究生专业人才。</w:t>
      </w:r>
    </w:p>
    <w:p w14:paraId="3681FFFE">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p>
    <w:p w14:paraId="42FFEE6C">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p>
    <w:p w14:paraId="1E2F7857">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培养目标：</w:t>
      </w:r>
    </w:p>
    <w:p w14:paraId="604B0EF7">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316"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bCs/>
          <w:sz w:val="21"/>
          <w:szCs w:val="21"/>
          <w:lang w:val="en-US" w:eastAsia="zh-CN"/>
        </w:rPr>
        <w:t xml:space="preserve">   </w:t>
      </w:r>
      <w:r>
        <w:rPr>
          <w:rFonts w:hint="eastAsia" w:asciiTheme="minorEastAsia" w:hAnsiTheme="minorEastAsia" w:eastAsiaTheme="minorEastAsia"/>
          <w:b w:val="0"/>
          <w:bCs w:val="0"/>
          <w:sz w:val="21"/>
          <w:szCs w:val="21"/>
          <w:lang w:val="en-US" w:eastAsia="zh-CN"/>
        </w:rPr>
        <w:t>本专业主要通过学习和掌握马克思主义基本理论和中国特色社会主义理论体系，拥护党的基本路线、方针和政策，掌握本学科基础理论和系统的专业知识以及必要的实践技能，了解学科发展现状和动向，培养具有较高马克思主义理论功底，能够从事马克思主义理论教学、科研工作，能在本学科领域从事相关实际工作的高层次专门人才。</w:t>
      </w:r>
    </w:p>
    <w:p w14:paraId="7CE4AECD">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315" w:firstLineChars="150"/>
        <w:contextualSpacing/>
        <w:jc w:val="left"/>
        <w:textAlignment w:val="auto"/>
        <w:rPr>
          <w:rFonts w:hint="eastAsia" w:asciiTheme="minorEastAsia" w:hAnsiTheme="minorEastAsia" w:eastAsiaTheme="minorEastAsia"/>
          <w:b w:val="0"/>
          <w:bCs w:val="0"/>
          <w:sz w:val="21"/>
          <w:szCs w:val="21"/>
          <w:lang w:val="en-US" w:eastAsia="zh-CN"/>
        </w:rPr>
      </w:pPr>
    </w:p>
    <w:p w14:paraId="635D906D">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培养优势：</w:t>
      </w:r>
    </w:p>
    <w:p w14:paraId="65D508A1">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79A6CDA0">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6363ACE9">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学校大力实施“人才强校”战略，形成了一支理想信念坚定、道德情操高尚、知识功底扎实、富有仁爱之心的教</w:t>
      </w:r>
      <w:r>
        <w:rPr>
          <w:rFonts w:hint="eastAsia" w:asciiTheme="minorEastAsia" w:hAnsiTheme="minorEastAsia" w:eastAsiaTheme="minorEastAsia" w:cstheme="minorEastAsia"/>
          <w:b w:val="0"/>
          <w:bCs w:val="0"/>
          <w:sz w:val="21"/>
          <w:szCs w:val="21"/>
          <w:lang w:val="en-US" w:eastAsia="zh-CN"/>
        </w:rPr>
        <w:t>师队</w:t>
      </w:r>
      <w:r>
        <w:rPr>
          <w:rFonts w:hint="eastAsia" w:asciiTheme="minorEastAsia" w:hAnsiTheme="minorEastAsia" w:eastAsiaTheme="minorEastAsia" w:cstheme="minorEastAsia"/>
          <w:sz w:val="21"/>
          <w:szCs w:val="21"/>
          <w:lang w:val="en-US" w:eastAsia="zh-CN"/>
        </w:rPr>
        <w:t>伍；</w:t>
      </w:r>
    </w:p>
    <w:p w14:paraId="0B33FEEF">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【弹性学制】</w:t>
      </w:r>
      <w:r>
        <w:rPr>
          <w:rFonts w:hint="eastAsia" w:asciiTheme="minorEastAsia" w:hAnsiTheme="minorEastAsia" w:eastAsiaTheme="minorEastAsia" w:cstheme="minorEastAsia"/>
          <w:b w:val="0"/>
          <w:bCs w:val="0"/>
          <w:sz w:val="21"/>
          <w:szCs w:val="21"/>
          <w:lang w:val="en-US" w:eastAsia="zh-CN"/>
        </w:rPr>
        <w:t>：完成课业安排，只要达到申硕条件者，可申请每年参加同等学力申硕考试；</w:t>
      </w:r>
    </w:p>
    <w:p w14:paraId="17D4555D">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结交高端人脉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407C1AA3">
      <w:pPr>
        <w:pStyle w:val="4"/>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1"/>
          <w:szCs w:val="21"/>
          <w:lang w:val="en-US" w:eastAsia="zh-CN"/>
        </w:rPr>
      </w:pPr>
    </w:p>
    <w:p w14:paraId="782A903B">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课程设置：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5868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7409C69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马克思主义理论</w:t>
            </w:r>
            <w:r>
              <w:rPr>
                <w:rFonts w:hint="eastAsia" w:asciiTheme="minorEastAsia" w:hAnsiTheme="minorEastAsia" w:eastAsiaTheme="minorEastAsia" w:cstheme="minorEastAsia"/>
                <w:b/>
                <w:sz w:val="21"/>
                <w:szCs w:val="21"/>
              </w:rPr>
              <w:t>专业课程</w:t>
            </w:r>
          </w:p>
        </w:tc>
      </w:tr>
      <w:tr w14:paraId="7B2A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66B922FD">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公共学位课</w:t>
            </w:r>
          </w:p>
        </w:tc>
        <w:tc>
          <w:tcPr>
            <w:tcW w:w="3402" w:type="dxa"/>
          </w:tcPr>
          <w:p w14:paraId="5032EAA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中国特色社会主义理论与实践</w:t>
            </w:r>
          </w:p>
        </w:tc>
        <w:tc>
          <w:tcPr>
            <w:tcW w:w="3311" w:type="dxa"/>
          </w:tcPr>
          <w:p w14:paraId="1D91E49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基础</w:t>
            </w:r>
            <w:r>
              <w:rPr>
                <w:rFonts w:hint="eastAsia" w:asciiTheme="minorEastAsia" w:hAnsiTheme="minorEastAsia" w:eastAsiaTheme="minorEastAsia" w:cstheme="minorEastAsia"/>
                <w:sz w:val="21"/>
                <w:szCs w:val="21"/>
                <w:lang w:val="en-US" w:eastAsia="zh-CN"/>
              </w:rPr>
              <w:t>英语</w:t>
            </w:r>
          </w:p>
        </w:tc>
      </w:tr>
      <w:tr w14:paraId="768C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00352D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58C2A87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马克思主义与社会科学方法论</w:t>
            </w:r>
          </w:p>
        </w:tc>
        <w:tc>
          <w:tcPr>
            <w:tcW w:w="3311" w:type="dxa"/>
          </w:tcPr>
          <w:p w14:paraId="333CFF6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专业英语</w:t>
            </w:r>
          </w:p>
        </w:tc>
      </w:tr>
      <w:tr w14:paraId="0C77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7F3A79E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32C80CE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马克思主义理论及其时代发展</w:t>
            </w:r>
          </w:p>
        </w:tc>
        <w:tc>
          <w:tcPr>
            <w:tcW w:w="3311" w:type="dxa"/>
          </w:tcPr>
          <w:p w14:paraId="17C7546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思想政治教育学原理</w:t>
            </w:r>
          </w:p>
        </w:tc>
      </w:tr>
      <w:tr w14:paraId="6A4E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0D85D85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37060BE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国外马克思主义专题</w:t>
            </w:r>
          </w:p>
        </w:tc>
        <w:tc>
          <w:tcPr>
            <w:tcW w:w="3311" w:type="dxa"/>
          </w:tcPr>
          <w:p w14:paraId="7B8F2C8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马克思主义经典著作选读</w:t>
            </w:r>
          </w:p>
        </w:tc>
      </w:tr>
      <w:tr w14:paraId="6525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62A1510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11ADE9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社会主义经济理论专题研究</w:t>
            </w:r>
          </w:p>
        </w:tc>
        <w:tc>
          <w:tcPr>
            <w:tcW w:w="3311" w:type="dxa"/>
          </w:tcPr>
          <w:p w14:paraId="37B8A76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社会心理学专题研究</w:t>
            </w:r>
          </w:p>
        </w:tc>
      </w:tr>
      <w:tr w14:paraId="2E95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2773A13E">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156EEB5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当代西方社会思潮专题</w:t>
            </w:r>
          </w:p>
        </w:tc>
        <w:tc>
          <w:tcPr>
            <w:tcW w:w="3311" w:type="dxa"/>
          </w:tcPr>
          <w:p w14:paraId="35F1507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中国传统文化专题研究</w:t>
            </w:r>
          </w:p>
        </w:tc>
      </w:tr>
      <w:tr w14:paraId="6529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2194625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71A19E0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领导科学专题研究</w:t>
            </w:r>
          </w:p>
        </w:tc>
        <w:tc>
          <w:tcPr>
            <w:tcW w:w="3311" w:type="dxa"/>
          </w:tcPr>
          <w:p w14:paraId="2E28FD3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伦理学专题研究</w:t>
            </w:r>
          </w:p>
        </w:tc>
      </w:tr>
      <w:tr w14:paraId="0DE3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756CF80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2BFD088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中国农村改革与发展专题研究</w:t>
            </w:r>
          </w:p>
        </w:tc>
        <w:tc>
          <w:tcPr>
            <w:tcW w:w="3311" w:type="dxa"/>
          </w:tcPr>
          <w:p w14:paraId="157BE3C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国学概论</w:t>
            </w:r>
          </w:p>
        </w:tc>
      </w:tr>
    </w:tbl>
    <w:p w14:paraId="4EA35437">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rPr>
      </w:pPr>
    </w:p>
    <w:p w14:paraId="4E645EAC">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478780A9">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报名条件：</w:t>
      </w:r>
    </w:p>
    <w:p w14:paraId="1ACA632A">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拥护中华人民共和国宪法，遵守法律、法规，品行端正，在教学、科研、管理、行政、金融、商业等各个领域拥有一定工作经验和工作业绩的在职人员。</w:t>
      </w:r>
    </w:p>
    <w:p w14:paraId="26878BB3">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报名人员必须符合下列条件之一：</w:t>
      </w:r>
    </w:p>
    <w:p w14:paraId="325A6530">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大学本科毕业，获得本科毕业证书及学士学位（申请硕士学位须满3年）；</w:t>
      </w:r>
    </w:p>
    <w:p w14:paraId="228232A8">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已获得硕士或博士学位；</w:t>
      </w:r>
    </w:p>
    <w:p w14:paraId="5C459CE4">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已获得的学位为国（境）外学位的，须经教育部留学服务中心认证。</w:t>
      </w:r>
    </w:p>
    <w:p w14:paraId="4CD742EE">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本科毕业无学士学位，或大专学历者，可申请参加课程学习，修满学分可获得同等学力申请硕士学位课程结业证书，但不能申请硕士学位。</w:t>
      </w:r>
    </w:p>
    <w:p w14:paraId="114EA5EE">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leftChars="150"/>
        <w:contextualSpacing/>
        <w:jc w:val="left"/>
        <w:textAlignment w:val="auto"/>
        <w:rPr>
          <w:rFonts w:hint="eastAsia" w:asciiTheme="minorEastAsia" w:hAnsiTheme="minorEastAsia" w:eastAsiaTheme="minorEastAsia"/>
          <w:b w:val="0"/>
          <w:bCs w:val="0"/>
          <w:sz w:val="21"/>
          <w:szCs w:val="21"/>
          <w:lang w:val="en-US" w:eastAsia="zh-CN"/>
        </w:rPr>
      </w:pPr>
    </w:p>
    <w:p w14:paraId="13277DA4">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报名材料：</w:t>
      </w:r>
    </w:p>
    <w:p w14:paraId="347CED8E">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本人身份证、本科毕业证、学士学位证书、2寸蓝底彩色照片；</w:t>
      </w:r>
    </w:p>
    <w:p w14:paraId="003BA051">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申请人在教学、科研、专门技术、管理方面做出成绩的有效证明材料；</w:t>
      </w:r>
    </w:p>
    <w:p w14:paraId="466D7724">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val="0"/>
          <w:bCs w:val="0"/>
          <w:sz w:val="21"/>
          <w:szCs w:val="21"/>
          <w:lang w:val="en-US" w:eastAsia="zh-CN"/>
        </w:rPr>
        <w:t>申请报名登记表、《报名告知书》。</w:t>
      </w:r>
    </w:p>
    <w:p w14:paraId="798229D0">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leftChars="200"/>
        <w:contextualSpacing/>
        <w:jc w:val="left"/>
        <w:textAlignment w:val="auto"/>
        <w:rPr>
          <w:rFonts w:hint="eastAsia" w:asciiTheme="minorEastAsia" w:hAnsiTheme="minorEastAsia" w:eastAsiaTheme="minorEastAsia"/>
          <w:b/>
          <w:bCs/>
          <w:sz w:val="21"/>
          <w:szCs w:val="21"/>
          <w:lang w:val="en-US" w:eastAsia="zh-CN"/>
        </w:rPr>
      </w:pPr>
    </w:p>
    <w:p w14:paraId="09A26B1E">
      <w:pPr>
        <w:pStyle w:val="4"/>
        <w:numPr>
          <w:ilvl w:val="0"/>
          <w:numId w:val="1"/>
        </w:numPr>
        <w:snapToGrid w:val="0"/>
        <w:spacing w:line="360" w:lineRule="auto"/>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b/>
          <w:bCs/>
          <w:sz w:val="21"/>
          <w:szCs w:val="21"/>
          <w:lang w:val="en-US" w:eastAsia="zh-CN"/>
        </w:rPr>
        <w:t>培养方式和学制：</w:t>
      </w:r>
    </w:p>
    <w:p w14:paraId="32D45CAE">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1DD61203">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学制：2年  </w:t>
      </w:r>
    </w:p>
    <w:p w14:paraId="27021728">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contextualSpacing/>
        <w:jc w:val="left"/>
        <w:textAlignment w:val="auto"/>
        <w:rPr>
          <w:rFonts w:hint="eastAsia" w:asciiTheme="minorEastAsia" w:hAnsiTheme="minorEastAsia" w:eastAsiaTheme="minorEastAsia" w:cstheme="minorEastAsia"/>
          <w:sz w:val="21"/>
          <w:szCs w:val="21"/>
          <w:lang w:val="en-US" w:eastAsia="zh-CN"/>
        </w:rPr>
      </w:pPr>
    </w:p>
    <w:p w14:paraId="719E1923">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获取证书：</w:t>
      </w:r>
    </w:p>
    <w:p w14:paraId="4F70B6EB">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firstLine="315" w:firstLineChars="150"/>
        <w:contextualSpacing/>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学员通过所报专业硕士研究生所有必修课程和选修课程考试，修满学分成绩合格，课程学习结束时发给武汉轻工大学硕士研究生课程班结业证书。</w:t>
      </w:r>
    </w:p>
    <w:p w14:paraId="4380AAC3">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left="0" w:leftChars="0" w:firstLine="315" w:firstLineChars="150"/>
        <w:contextualSpacing/>
        <w:textAlignment w:val="auto"/>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完成所有课程学习并且考核合格这，满足同等学力申请硕士学位条件学员，可参加全国统一考试，成绩合格达标者可进入学位论文写作阶段，论文通过评审、答辩，并经由我校学位评定委员会批准，可授予武汉轻工大学硕士学位。</w:t>
      </w:r>
    </w:p>
    <w:p w14:paraId="60137255">
      <w:pPr>
        <w:pStyle w:val="4"/>
        <w:keepNext w:val="0"/>
        <w:keepLines w:val="0"/>
        <w:pageBreakBefore w:val="0"/>
        <w:widowControl/>
        <w:numPr>
          <w:ilvl w:val="0"/>
          <w:numId w:val="0"/>
        </w:numPr>
        <w:kinsoku/>
        <w:wordWrap/>
        <w:overflowPunct/>
        <w:topLinePunct w:val="0"/>
        <w:autoSpaceDE/>
        <w:autoSpaceDN/>
        <w:bidi w:val="0"/>
        <w:adjustRightInd/>
        <w:snapToGrid w:val="0"/>
        <w:spacing w:line="480" w:lineRule="auto"/>
        <w:ind w:leftChars="150"/>
        <w:contextualSpacing/>
        <w:textAlignment w:val="auto"/>
        <w:rPr>
          <w:rFonts w:hint="eastAsia" w:asciiTheme="minorEastAsia" w:hAnsiTheme="minorEastAsia" w:cstheme="minorEastAsia"/>
          <w:kern w:val="0"/>
          <w:sz w:val="21"/>
          <w:szCs w:val="21"/>
          <w:lang w:val="en-US" w:eastAsia="zh-CN" w:bidi="ar-SA"/>
        </w:rPr>
      </w:pPr>
    </w:p>
    <w:p w14:paraId="11E5239E">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收费标准：</w:t>
      </w:r>
    </w:p>
    <w:p w14:paraId="7EC65F5C">
      <w:pPr>
        <w:pStyle w:val="4"/>
        <w:numPr>
          <w:ilvl w:val="0"/>
          <w:numId w:val="0"/>
        </w:numPr>
        <w:snapToGrid w:val="0"/>
        <w:spacing w:line="360" w:lineRule="auto"/>
        <w:ind w:firstLine="420" w:firstLineChars="200"/>
        <w:contextualSpacing/>
      </w:pPr>
      <w:r>
        <w:rPr>
          <w:rFonts w:hint="eastAsia" w:ascii="宋体" w:hAnsi="宋体" w:eastAsia="宋体" w:cs="宋体"/>
          <w:b w:val="0"/>
          <w:bCs/>
          <w:color w:val="auto"/>
          <w:sz w:val="21"/>
          <w:szCs w:val="21"/>
          <w:lang w:val="en-US" w:eastAsia="zh-CN"/>
        </w:rPr>
        <w:t>学费缴纳分两段制进行，即课程学习阶段和撰写学位论文和论文答辩阶段，</w:t>
      </w:r>
      <w:r>
        <w:rPr>
          <w:rFonts w:hint="eastAsia" w:asciiTheme="minorEastAsia" w:hAnsiTheme="minorEastAsia" w:cstheme="minorEastAsia"/>
          <w:kern w:val="0"/>
          <w:sz w:val="21"/>
          <w:szCs w:val="21"/>
          <w:lang w:val="en-US" w:eastAsia="zh-CN" w:bidi="ar-SA"/>
        </w:rPr>
        <w:t>第一阶段：学费12000元和课程学习费用10000元；第二阶段：论文答辩16000元。</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0E0EC">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19700"/>
          <wp:effectExtent l="0" t="0" r="2540" b="0"/>
          <wp:wrapNone/>
          <wp:docPr id="3" name="WordPictureWatermark25249" descr="武汉轻工大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25249" descr="武汉轻工大学1"/>
                  <pic:cNvPicPr>
                    <a:picLocks noChangeAspect="1"/>
                  </pic:cNvPicPr>
                </pic:nvPicPr>
                <pic:blipFill>
                  <a:blip r:embed="rId1">
                    <a:lum bright="69998" contrast="-70001"/>
                  </a:blip>
                  <a:stretch>
                    <a:fillRect/>
                  </a:stretch>
                </pic:blipFill>
                <pic:spPr>
                  <a:xfrm>
                    <a:off x="0" y="0"/>
                    <a:ext cx="5274310" cy="5219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BA04DF7C"/>
    <w:multiLevelType w:val="singleLevel"/>
    <w:tmpl w:val="BA04DF7C"/>
    <w:lvl w:ilvl="0" w:tentative="0">
      <w:start w:val="1"/>
      <w:numFmt w:val="decimal"/>
      <w:suff w:val="nothing"/>
      <w:lvlText w:val="%1、"/>
      <w:lvlJc w:val="left"/>
      <w:pPr>
        <w:ind w:left="210" w:leftChars="0" w:firstLine="0" w:firstLineChars="0"/>
      </w:pPr>
    </w:lvl>
  </w:abstractNum>
  <w:abstractNum w:abstractNumId="2">
    <w:nsid w:val="C000E8B9"/>
    <w:multiLevelType w:val="singleLevel"/>
    <w:tmpl w:val="C000E8B9"/>
    <w:lvl w:ilvl="0" w:tentative="0">
      <w:start w:val="1"/>
      <w:numFmt w:val="decimal"/>
      <w:suff w:val="nothing"/>
      <w:lvlText w:val="%1、"/>
      <w:lvlJc w:val="left"/>
      <w:pPr>
        <w:ind w:left="-212"/>
      </w:pPr>
      <w:rPr>
        <w:rFonts w:hint="default"/>
        <w:b/>
        <w:bCs/>
      </w:rPr>
    </w:lvl>
  </w:abstractNum>
  <w:abstractNum w:abstractNumId="3">
    <w:nsid w:val="FD979A40"/>
    <w:multiLevelType w:val="singleLevel"/>
    <w:tmpl w:val="FD979A40"/>
    <w:lvl w:ilvl="0" w:tentative="0">
      <w:start w:val="1"/>
      <w:numFmt w:val="chineseCounting"/>
      <w:suff w:val="nothing"/>
      <w:lvlText w:val="%1、"/>
      <w:lvlJc w:val="left"/>
      <w:rPr>
        <w:rFonts w:hint="eastAsia"/>
        <w:b/>
        <w:bCs/>
      </w:rPr>
    </w:lvl>
  </w:abstractNum>
  <w:abstractNum w:abstractNumId="4">
    <w:nsid w:val="0839793D"/>
    <w:multiLevelType w:val="singleLevel"/>
    <w:tmpl w:val="0839793D"/>
    <w:lvl w:ilvl="0" w:tentative="0">
      <w:start w:val="1"/>
      <w:numFmt w:val="decimal"/>
      <w:suff w:val="nothing"/>
      <w:lvlText w:val="（%1）"/>
      <w:lvlJc w:val="left"/>
    </w:lvl>
  </w:abstractNum>
  <w:abstractNum w:abstractNumId="5">
    <w:nsid w:val="4BE3664B"/>
    <w:multiLevelType w:val="singleLevel"/>
    <w:tmpl w:val="4BE3664B"/>
    <w:lvl w:ilvl="0" w:tentative="0">
      <w:start w:val="1"/>
      <w:numFmt w:val="decimal"/>
      <w:suff w:val="nothing"/>
      <w:lvlText w:val="%1、"/>
      <w:lvlJc w:val="left"/>
      <w:pPr>
        <w:ind w:left="316" w:leftChars="0" w:firstLine="0" w:firstLineChars="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NTlmMjUyZTA5NGI0MDFiZGY2M2MwYzM3OTZkNTAifQ=="/>
  </w:docVars>
  <w:rsids>
    <w:rsidRoot w:val="3ECE6E3A"/>
    <w:rsid w:val="15FA5EC4"/>
    <w:rsid w:val="1A243B45"/>
    <w:rsid w:val="29AB7DF4"/>
    <w:rsid w:val="33BD52AE"/>
    <w:rsid w:val="3BD96051"/>
    <w:rsid w:val="3D747F50"/>
    <w:rsid w:val="3ECE6E3A"/>
    <w:rsid w:val="40CB5A7A"/>
    <w:rsid w:val="4A0D4904"/>
    <w:rsid w:val="4CA7495E"/>
    <w:rsid w:val="5FE92FD3"/>
    <w:rsid w:val="625F4321"/>
    <w:rsid w:val="77437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1723</Words>
  <Characters>1752</Characters>
  <Lines>0</Lines>
  <Paragraphs>0</Paragraphs>
  <TotalTime>0</TotalTime>
  <ScaleCrop>false</ScaleCrop>
  <LinksUpToDate>false</LinksUpToDate>
  <CharactersWithSpaces>1758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2022-09-05T01:10:00Z</dcterms:created>
  <dc:creator>Administrator</dc:creator>
  <cp:lastModifiedBy>Administrator</cp:lastModifiedBy>
  <dcterms:modified xsi:type="dcterms:W3CDTF">2026-01-15T07:54:09Z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6A9D782F9F1440F8823E4CD318DDA32D</vt:lpwstr>
  </property>
  <property fmtid="{D5CDD505-2E9C-101B-9397-08002B2CF9AE}" pid="4" name="KSOTemplateDocerSaveRecord">
    <vt:lpwstr>eyJoZGlkIjoiMjJkYmYyOGQwNjU2YTFjYjBlYWQzZDdlZjc2Nzk1ZWYifQ==</vt:lpwstr>
  </property>
</Properties>
</file>