
<file path=[Content_Types].xml><?xml version="1.0" encoding="utf-8"?>
<Types xmlns="http://schemas.openxmlformats.org/package/2006/content-types">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187D184"/>
    <w:p w14:paraId="400038D3">
      <w:r>
        <w:rPr>
          <w:rFonts w:hint="eastAsia"/>
        </w:rPr>
        <w:drawing>
          <wp:inline distT="0" distB="0" distL="114300" distR="114300">
            <wp:extent cx="5000625" cy="1257300"/>
            <wp:effectExtent l="0" t="0" r="9525" b="0"/>
            <wp:docPr id="2" name="图片 2" descr="QQ截图202109101508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2" descr="QQ截图20210910150855"/>
                    <pic:cNvPicPr>
                      <a:picLocks noChangeAspect="1"/>
                    </pic:cNvPicPr>
                  </pic:nvPicPr>
                  <pic:blipFill>
                    <a:blip r:embed="rId5" cstate="print"/>
                    <a:stretch>
                      <a:fillRect/>
                    </a:stretch>
                  </pic:blipFill>
                  <pic:spPr>
                    <a:xfrm>
                      <a:off x="0" y="0"/>
                      <a:ext cx="5000625" cy="1257300"/>
                    </a:xfrm>
                    <a:prstGeom prst="rect">
                      <a:avLst/>
                    </a:prstGeom>
                  </pic:spPr>
                </pic:pic>
              </a:graphicData>
            </a:graphic>
          </wp:inline>
        </w:drawing>
      </w:r>
    </w:p>
    <w:p w14:paraId="6D396607"/>
    <w:p w14:paraId="19DE3A21">
      <w:pPr>
        <w:jc w:val="center"/>
        <w:rPr>
          <w:rFonts w:asciiTheme="minorEastAsia" w:hAnsiTheme="minorEastAsia" w:cstheme="minorEastAsia"/>
          <w:b/>
          <w:bCs/>
          <w:sz w:val="30"/>
          <w:szCs w:val="30"/>
        </w:rPr>
      </w:pPr>
      <w:r>
        <w:rPr>
          <w:rFonts w:hint="eastAsia" w:asciiTheme="minorEastAsia" w:hAnsiTheme="minorEastAsia" w:cstheme="minorEastAsia"/>
          <w:b/>
          <w:bCs/>
          <w:sz w:val="30"/>
          <w:szCs w:val="30"/>
        </w:rPr>
        <w:t>江西师范大学同等学力人员申请硕士学位地理学专业</w:t>
      </w:r>
    </w:p>
    <w:p w14:paraId="0A1DD92B">
      <w:pPr>
        <w:jc w:val="center"/>
        <w:rPr>
          <w:rFonts w:asciiTheme="minorEastAsia" w:hAnsiTheme="minorEastAsia" w:cstheme="minorEastAsia"/>
          <w:b/>
          <w:bCs/>
          <w:sz w:val="30"/>
          <w:szCs w:val="30"/>
        </w:rPr>
      </w:pPr>
      <w:r>
        <w:rPr>
          <w:rFonts w:hint="eastAsia" w:asciiTheme="minorEastAsia" w:hAnsiTheme="minorEastAsia" w:cstheme="minorEastAsia"/>
          <w:b/>
          <w:bCs/>
          <w:sz w:val="30"/>
          <w:szCs w:val="30"/>
        </w:rPr>
        <w:t>招生简章</w:t>
      </w:r>
    </w:p>
    <w:p w14:paraId="52D3EFDD">
      <w:pPr>
        <w:rPr>
          <w:rFonts w:asciiTheme="minorEastAsia" w:hAnsiTheme="minorEastAsia" w:cstheme="minorEastAsia"/>
          <w:b/>
          <w:bCs/>
          <w:sz w:val="32"/>
          <w:szCs w:val="32"/>
        </w:rPr>
      </w:pPr>
    </w:p>
    <w:p w14:paraId="4A270393">
      <w:pPr>
        <w:numPr>
          <w:ilvl w:val="0"/>
          <w:numId w:val="1"/>
        </w:numPr>
        <w:rPr>
          <w:rFonts w:asciiTheme="minorEastAsia" w:hAnsiTheme="minorEastAsia" w:cstheme="minorEastAsia"/>
          <w:sz w:val="24"/>
        </w:rPr>
      </w:pPr>
      <w:r>
        <w:rPr>
          <w:rFonts w:hint="eastAsia" w:asciiTheme="minorEastAsia" w:hAnsiTheme="minorEastAsia" w:cstheme="minorEastAsia"/>
          <w:b/>
          <w:bCs/>
          <w:sz w:val="24"/>
        </w:rPr>
        <w:t>院校及专业简介：</w:t>
      </w:r>
    </w:p>
    <w:p w14:paraId="4B9D235B">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江西师范大学</w:t>
      </w:r>
      <w:r>
        <w:rPr>
          <w:rFonts w:asciiTheme="minorEastAsia" w:hAnsiTheme="minorEastAsia" w:cstheme="minorEastAsia"/>
          <w:sz w:val="24"/>
        </w:rPr>
        <w:t>（Jiangxi Normal University）简称“</w:t>
      </w:r>
      <w:r>
        <w:fldChar w:fldCharType="begin"/>
      </w:r>
      <w:r>
        <w:instrText xml:space="preserve"> HYPERLINK "https://baike.baidu.com/item/%E6%B1%9F%E8%A5%BF%E5%B8%88%E5%A4%A7/2322638" \t "https://baike.baidu.com/item/%E6%B1%9F%E8%A5%BF%E5%B8%88%E8%8C%83%E5%A4%A7%E5%AD%A6/_blank" </w:instrText>
      </w:r>
      <w:r>
        <w:fldChar w:fldCharType="separate"/>
      </w:r>
      <w:r>
        <w:rPr>
          <w:rFonts w:asciiTheme="minorEastAsia" w:hAnsiTheme="minorEastAsia" w:cstheme="minorEastAsia"/>
          <w:sz w:val="24"/>
        </w:rPr>
        <w:t>江西师大</w:t>
      </w:r>
      <w:r>
        <w:rPr>
          <w:rFonts w:asciiTheme="minorEastAsia" w:hAnsiTheme="minorEastAsia" w:cstheme="minorEastAsia"/>
          <w:sz w:val="24"/>
        </w:rPr>
        <w:fldChar w:fldCharType="end"/>
      </w:r>
      <w:r>
        <w:rPr>
          <w:rFonts w:asciiTheme="minorEastAsia" w:hAnsiTheme="minorEastAsia" w:cstheme="minorEastAsia"/>
          <w:sz w:val="24"/>
        </w:rPr>
        <w:t>”，位于历史文化名城江西省会</w:t>
      </w:r>
      <w:r>
        <w:fldChar w:fldCharType="begin"/>
      </w:r>
      <w:r>
        <w:instrText xml:space="preserve"> HYPERLINK "https://baike.baidu.com/item/%E5%8D%97%E6%98%8C%E5%B8%82/2206044" \t "https://baike.baidu.com/item/%E6%B1%9F%E8%A5%BF%E5%B8%88%E8%8C%83%E5%A4%A7%E5%AD%A6/_blank" </w:instrText>
      </w:r>
      <w:r>
        <w:fldChar w:fldCharType="separate"/>
      </w:r>
      <w:r>
        <w:rPr>
          <w:rFonts w:asciiTheme="minorEastAsia" w:hAnsiTheme="minorEastAsia" w:cstheme="minorEastAsia"/>
          <w:sz w:val="24"/>
        </w:rPr>
        <w:t>南昌市</w:t>
      </w:r>
      <w:r>
        <w:rPr>
          <w:rFonts w:asciiTheme="minorEastAsia" w:hAnsiTheme="minorEastAsia" w:cstheme="minorEastAsia"/>
          <w:sz w:val="24"/>
        </w:rPr>
        <w:fldChar w:fldCharType="end"/>
      </w:r>
      <w:r>
        <w:rPr>
          <w:rFonts w:asciiTheme="minorEastAsia" w:hAnsiTheme="minorEastAsia" w:cstheme="minorEastAsia"/>
          <w:sz w:val="24"/>
        </w:rPr>
        <w:t>，是</w:t>
      </w:r>
      <w:r>
        <w:fldChar w:fldCharType="begin"/>
      </w:r>
      <w:r>
        <w:instrText xml:space="preserve"> HYPERLINK "https://baike.baidu.com/item/%E6%95%99%E8%82%B2%E9%83%A8/239078" \t "https://baike.baidu.com/item/%E6%B1%9F%E8%A5%BF%E5%B8%88%E8%8C%83%E5%A4%A7%E5%AD%A6/_blank" </w:instrText>
      </w:r>
      <w:r>
        <w:fldChar w:fldCharType="separate"/>
      </w:r>
      <w:r>
        <w:rPr>
          <w:rFonts w:asciiTheme="minorEastAsia" w:hAnsiTheme="minorEastAsia" w:cstheme="minorEastAsia"/>
          <w:sz w:val="24"/>
        </w:rPr>
        <w:t>教育部</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"https://baike.baidu.com/item/%E6%B1%9F%E8%A5%BF%E7%9C%81%E4%BA%BA%E6%B0%91%E6%94%BF%E5%BA%9C/6392792" \t "https://baike.baidu.com/item/%E6%B1%9F%E8%A5%BF%E5%B8%88%E8%8C%83%E5%A4%A7%E5%AD%A6/_blank" </w:instrText>
      </w:r>
      <w:r>
        <w:fldChar w:fldCharType="separate"/>
      </w:r>
      <w:r>
        <w:rPr>
          <w:rFonts w:asciiTheme="minorEastAsia" w:hAnsiTheme="minorEastAsia" w:cstheme="minorEastAsia"/>
          <w:sz w:val="24"/>
        </w:rPr>
        <w:t>江西省人民政府</w:t>
      </w:r>
      <w:r>
        <w:rPr>
          <w:rFonts w:asciiTheme="minorEastAsia" w:hAnsiTheme="minorEastAsia" w:cstheme="minorEastAsia"/>
          <w:sz w:val="24"/>
        </w:rPr>
        <w:fldChar w:fldCharType="end"/>
      </w:r>
      <w:r>
        <w:rPr>
          <w:rFonts w:asciiTheme="minorEastAsia" w:hAnsiTheme="minorEastAsia" w:cstheme="minorEastAsia"/>
          <w:sz w:val="24"/>
        </w:rPr>
        <w:t>共建高校，入选</w:t>
      </w:r>
      <w:r>
        <w:fldChar w:fldCharType="begin"/>
      </w:r>
      <w:r>
        <w:instrText xml:space="preserve"> HYPERLINK "https://baike.baidu.com/item/%E4%B8%AD%E8%A5%BF%E9%83%A8%E9%AB%98%E6%A0%A1%E5%9F%BA%E7%A1%80%E8%83%BD%E5%8A%9B%E5%BB%BA%E8%AE%BE%E5%B7%A5%E7%A8%8B/6590386" \t "https://baike.baidu.com/item/%E6%B1%9F%E8%A5%BF%E5%B8%88%E8%8C%83%E5%A4%A7%E5%AD%A6/_blank" </w:instrText>
      </w:r>
      <w:r>
        <w:fldChar w:fldCharType="separate"/>
      </w:r>
      <w:r>
        <w:rPr>
          <w:rFonts w:asciiTheme="minorEastAsia" w:hAnsiTheme="minorEastAsia" w:cstheme="minorEastAsia"/>
          <w:sz w:val="24"/>
        </w:rPr>
        <w:t>中西部高校基础能力建设工程</w:t>
      </w:r>
      <w:r>
        <w:rPr>
          <w:rFonts w:asciiTheme="minorEastAsia" w:hAnsiTheme="minorEastAsia" w:cstheme="minorEastAsia"/>
          <w:sz w:val="24"/>
        </w:rPr>
        <w:fldChar w:fldCharType="end"/>
      </w:r>
      <w:r>
        <w:rPr>
          <w:rFonts w:asciiTheme="minorEastAsia" w:hAnsiTheme="minorEastAsia" w:cstheme="minorEastAsia"/>
          <w:sz w:val="24"/>
        </w:rPr>
        <w:t>、教育部</w:t>
      </w:r>
      <w:r>
        <w:fldChar w:fldCharType="begin"/>
      </w:r>
      <w:r>
        <w:instrText xml:space="preserve"> HYPERLINK "https://baike.baidu.com/item/%E5%8D%93%E8%B6%8A%E6%95%99%E5%B8%88%E5%9F%B9%E5%85%BB%E8%AE%A1%E5%88%92/15877912" \t "https://baike.baidu.com/item/%E6%B1%9F%E8%A5%BF%E5%B8%88%E8%8C%83%E5%A4%A7%E5%AD%A6/_blank" </w:instrText>
      </w:r>
      <w:r>
        <w:fldChar w:fldCharType="separate"/>
      </w:r>
      <w:r>
        <w:rPr>
          <w:rFonts w:asciiTheme="minorEastAsia" w:hAnsiTheme="minorEastAsia" w:cstheme="minorEastAsia"/>
          <w:sz w:val="24"/>
        </w:rPr>
        <w:t>卓越教师培养计划</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"https://baike.baidu.com/item/%E5%9B%BD%E5%9F%B9%E8%AE%A1%E5%88%92/9532594" \t "https://baike.baidu.com/item/%E6%B1%9F%E8%A5%BF%E5%B8%88%E8%8C%83%E5%A4%A7%E5%AD%A6/_blank" </w:instrText>
      </w:r>
      <w:r>
        <w:fldChar w:fldCharType="separate"/>
      </w:r>
      <w:r>
        <w:rPr>
          <w:rFonts w:asciiTheme="minorEastAsia" w:hAnsiTheme="minorEastAsia" w:cstheme="minorEastAsia"/>
          <w:sz w:val="24"/>
        </w:rPr>
        <w:t>国培计划</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"https://baike.baidu.com/item/%E5%9B%BD%E5%AE%B6%E7%BA%A7%E5%A4%A7%E5%AD%A6%E7%94%9F%E5%88%9B%E6%96%B0%E5%88%9B%E4%B8%9A%E8%AE%AD%E7%BB%83%E8%AE%A1%E5%88%92/8962344" \t "https://baike.baidu.com/item/%E6%B1%9F%E8%A5%BF%E5%B8%88%E8%8C%83%E5%A4%A7%E5%AD%A6/_blank" </w:instrText>
      </w:r>
      <w:r>
        <w:fldChar w:fldCharType="separate"/>
      </w:r>
      <w:r>
        <w:rPr>
          <w:rFonts w:asciiTheme="minorEastAsia" w:hAnsiTheme="minorEastAsia" w:cstheme="minorEastAsia"/>
          <w:sz w:val="24"/>
        </w:rPr>
        <w:t>国家级大学生创新创业训练计划</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"https://baike.baidu.com/item/%E5%9B%BD%E5%AE%B6%E5%A4%A7%E5%AD%A6%E7%94%9F%E6%96%87%E5%8C%96%E7%B4%A0%E8%B4%A8%E6%95%99%E8%82%B2%E5%9F%BA%E5%9C%B0/2680904" \t "https://baike.baidu.com/item/%E6%B1%9F%E8%A5%BF%E5%B8%88%E8%8C%83%E5%A4%A7%E5%AD%A6/_blank" </w:instrText>
      </w:r>
      <w:r>
        <w:fldChar w:fldCharType="separate"/>
      </w:r>
      <w:r>
        <w:rPr>
          <w:rFonts w:asciiTheme="minorEastAsia" w:hAnsiTheme="minorEastAsia" w:cstheme="minorEastAsia"/>
          <w:sz w:val="24"/>
        </w:rPr>
        <w:t>国家大学生文化素质教育基地</w:t>
      </w:r>
      <w:r>
        <w:rPr>
          <w:rFonts w:asciiTheme="minorEastAsia" w:hAnsiTheme="minorEastAsia" w:cstheme="minorEastAsia"/>
          <w:sz w:val="24"/>
        </w:rPr>
        <w:fldChar w:fldCharType="end"/>
      </w:r>
      <w:r>
        <w:rPr>
          <w:rFonts w:asciiTheme="minorEastAsia" w:hAnsiTheme="minorEastAsia" w:cstheme="minorEastAsia"/>
          <w:sz w:val="24"/>
        </w:rPr>
        <w:t>、</w:t>
      </w:r>
      <w:r>
        <w:fldChar w:fldCharType="begin"/>
      </w:r>
      <w:r>
        <w:instrText xml:space="preserve"> HYPERLINK "https://baike.baidu.com/item/%E5%85%A8%E5%9B%BD%E9%AB%98%E6%A0%A1%E5%AE%9E%E8%B7%B5%E8%82%B2%E4%BA%BA%E5%88%9B%E6%96%B0%E5%88%9B%E4%B8%9A%E5%9F%BA%E5%9C%B0/23353076" \t "https://baike.baidu.com/item/%E6%B1%9F%E8%A5%BF%E5%B8%88%E8%8C%83%E5%A4%A7%E5%AD%A6/_blank" </w:instrText>
      </w:r>
      <w:r>
        <w:fldChar w:fldCharType="separate"/>
      </w:r>
      <w:r>
        <w:rPr>
          <w:rFonts w:asciiTheme="minorEastAsia" w:hAnsiTheme="minorEastAsia" w:cstheme="minorEastAsia"/>
          <w:sz w:val="24"/>
        </w:rPr>
        <w:t>全国高校实践育人创新创业基地</w:t>
      </w:r>
      <w:r>
        <w:rPr>
          <w:rFonts w:asciiTheme="minorEastAsia" w:hAnsiTheme="minorEastAsia" w:cstheme="minorEastAsia"/>
          <w:sz w:val="24"/>
        </w:rPr>
        <w:fldChar w:fldCharType="end"/>
      </w:r>
      <w:r>
        <w:rPr>
          <w:rFonts w:asciiTheme="minorEastAsia" w:hAnsiTheme="minorEastAsia" w:cstheme="minorEastAsia"/>
          <w:sz w:val="24"/>
        </w:rPr>
        <w:t>、江西省2011计划、江西省首批大众创业万众创新示范基地、江西省一流学科建设高校、</w:t>
      </w:r>
      <w:r>
        <w:fldChar w:fldCharType="begin"/>
      </w:r>
      <w:r>
        <w:instrText xml:space="preserve"> HYPERLINK "https://baike.baidu.com/item/%E4%B8%AD%E5%9B%BD%E6%94%BF%E5%BA%9C%E5%A5%96%E5%AD%A6%E9%87%91%E6%9D%A5%E5%8D%8E%E7%95%99%E5%AD%A6%E7%94%9F%E6%8E%A5%E6%94%B6%E9%99%A2%E6%A0%A1/15447730" \t "https://baike.baidu.com/item/%E6%B1%9F%E8%A5%BF%E5%B8%88%E8%8C%83%E5%A4%A7%E5%AD%A6/_blank" </w:instrText>
      </w:r>
      <w:r>
        <w:fldChar w:fldCharType="separate"/>
      </w:r>
      <w:r>
        <w:rPr>
          <w:rFonts w:asciiTheme="minorEastAsia" w:hAnsiTheme="minorEastAsia" w:cstheme="minorEastAsia"/>
          <w:sz w:val="24"/>
        </w:rPr>
        <w:t>中国政府奖学金来华留学生接收院校</w:t>
      </w:r>
      <w:r>
        <w:rPr>
          <w:rFonts w:asciiTheme="minorEastAsia" w:hAnsiTheme="minorEastAsia" w:cstheme="minorEastAsia"/>
          <w:sz w:val="24"/>
        </w:rPr>
        <w:fldChar w:fldCharType="end"/>
      </w:r>
      <w:r>
        <w:rPr>
          <w:rFonts w:asciiTheme="minorEastAsia" w:hAnsiTheme="minorEastAsia" w:cstheme="minorEastAsia"/>
          <w:sz w:val="24"/>
        </w:rPr>
        <w:t>、全国第一批本科院校教育信息化试点单位、全国首批</w:t>
      </w:r>
      <w:r>
        <w:fldChar w:fldCharType="begin"/>
      </w:r>
      <w:r>
        <w:instrText xml:space="preserve"> HYPERLINK "https://baike.baidu.com/item/%E6%B7%B1%E5%8C%96%E5%88%9B%E6%96%B0%E5%88%9B%E4%B8%9A%E6%95%99%E8%82%B2%E6%94%B9%E9%9D%A9%E7%A4%BA%E8%8C%83%E9%AB%98%E6%A0%A1/21510324" \t "https://baike.baidu.com/item/%E6%B1%9F%E8%A5%BF%E5%B8%88%E8%8C%83%E5%A4%A7%E5%AD%A6/_blank" </w:instrText>
      </w:r>
      <w:r>
        <w:fldChar w:fldCharType="separate"/>
      </w:r>
      <w:r>
        <w:rPr>
          <w:rFonts w:asciiTheme="minorEastAsia" w:hAnsiTheme="minorEastAsia" w:cstheme="minorEastAsia"/>
          <w:sz w:val="24"/>
        </w:rPr>
        <w:t>深化创新创业教育改革示范高校</w:t>
      </w:r>
      <w:r>
        <w:rPr>
          <w:rFonts w:asciiTheme="minorEastAsia" w:hAnsiTheme="minorEastAsia" w:cstheme="minorEastAsia"/>
          <w:sz w:val="24"/>
        </w:rPr>
        <w:fldChar w:fldCharType="end"/>
      </w:r>
      <w:r>
        <w:rPr>
          <w:rFonts w:asciiTheme="minorEastAsia" w:hAnsiTheme="minorEastAsia" w:cstheme="minorEastAsia"/>
          <w:sz w:val="24"/>
        </w:rPr>
        <w:t>。学校融哲学、经济学、法学、教育学、文学、历史学、理学、工学、管理学、艺术学等十大学科门类于一体，位于具有深厚历史文化底蕴，素有</w:t>
      </w:r>
      <w:r>
        <w:rPr>
          <w:rFonts w:hint="eastAsia" w:asciiTheme="minorEastAsia" w:hAnsiTheme="minorEastAsia" w:cstheme="minorEastAsia"/>
          <w:sz w:val="24"/>
        </w:rPr>
        <w:t>“物华天宝、人杰地灵”美誉的江西省省会南昌，对江西的政治、经济、文化和社会发展有较大影响，被江西省人民政府确定为优先发展的省属重点（师范）大学。</w:t>
      </w:r>
    </w:p>
    <w:p w14:paraId="72585E57">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江西师范大学地理与环境学院前身为1958年的江西师范学院地理系，1962－1978年期间停办。1979年地理系恢复招生，1993年增设房地产经营与管理专业，1994年更名为环境资源科学系，1996年增设城市规划专业，1999年改名为城市与环境学院。2003年7月学校在对原城市与环境学院的有关专业进行调整的基础上成立地理与环境学院。</w:t>
      </w:r>
    </w:p>
    <w:p w14:paraId="7DCE39FB">
      <w:pPr>
        <w:spacing w:line="360" w:lineRule="auto"/>
        <w:ind w:firstLine="600" w:firstLineChars="250"/>
        <w:rPr>
          <w:rFonts w:asciiTheme="minorEastAsia" w:hAnsiTheme="minorEastAsia" w:cstheme="minorEastAsia"/>
          <w:sz w:val="24"/>
        </w:rPr>
      </w:pPr>
    </w:p>
    <w:p w14:paraId="553E78D6">
      <w:pPr>
        <w:rPr>
          <w:rFonts w:asciiTheme="minorEastAsia" w:hAnsiTheme="minorEastAsia" w:cstheme="minorEastAsia"/>
          <w:sz w:val="24"/>
        </w:rPr>
      </w:pPr>
    </w:p>
    <w:p w14:paraId="02DD44A9">
      <w:pPr>
        <w:rPr>
          <w:rFonts w:asciiTheme="minorEastAsia" w:hAnsiTheme="minorEastAsia" w:cstheme="minorEastAsia"/>
          <w:sz w:val="24"/>
        </w:rPr>
      </w:pPr>
    </w:p>
    <w:p w14:paraId="586DE409">
      <w:pPr>
        <w:rPr>
          <w:rFonts w:asciiTheme="minorEastAsia" w:hAnsiTheme="minorEastAsia" w:cstheme="minorEastAsia"/>
          <w:sz w:val="24"/>
        </w:rPr>
      </w:pPr>
    </w:p>
    <w:p w14:paraId="0D1D4392">
      <w:pPr>
        <w:rPr>
          <w:rFonts w:asciiTheme="minorEastAsia" w:hAnsiTheme="minorEastAsia" w:cstheme="minorEastAsia"/>
          <w:sz w:val="24"/>
        </w:rPr>
      </w:pPr>
    </w:p>
    <w:p w14:paraId="68A56D6F">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培养目标：</w:t>
      </w:r>
    </w:p>
    <w:p w14:paraId="4F31B174">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 xml:space="preserve">本专业培养适应现代地理学教育发展及其社会需求，德智体美全面发展，具有扎实的自然科学、人文科学基础，具备计算机、外语的应用技能，掌握地理科学的基本理论、基础知识和基本方法，获得教师教育的基本训练，有较强的创新意识和实践能力，主要从事地理教育工作，并能适应环境教育以及资源、环境、区域管理等领域工作的复合创新型高级专门人才。                                                                                                                                                                                                                                                                                                                                                                                                                                                                                                                                                                                                                                                                                                                                                                                                                                                                                                                                                                                                                                                                                                                                                                                                                                                                                                                                                                                                                                                                                                                                                                                                                                                                                                                                                                                                                                                                                                                                                                                                                                                                                                                                                                                                                                                                                                                                                                                                                                                                                                                                                                                                                                                                                                                                                                                                                                                                                                                                                                                                                                                                                                                                                                                                                                                                                                                                                                                                                                                                                                                                                                                                                                                                                                                                                                                                                                                                                                                                                                                                                                                </w:t>
      </w:r>
      <w:r>
        <w:rPr>
          <w:rFonts w:hint="eastAsia" w:asciiTheme="minorEastAsia" w:hAnsiTheme="minorEastAsia" w:cstheme="minorEastAsia"/>
          <w:sz w:val="24"/>
        </w:rPr>
        <w:t xml:space="preserve">                                                                                                                                                                                                                                                                                                                                                                                                                                                                                                                                                                                                                                                                                                                                                                                                                                                                                                                                                                                                                                                                                                                                                                                                                                                                                                                                                                                                                                                                                                                                                                                                                                                                                                                                                                                                                                                                                                                                                                                                                                                                                                                                                                                                                                                                                                                                                                                                                                                                                                                                                                                                                                                                                                                                                                                                                                                                                                                                                                                                                                                                                                                                                                                                                                                                                                                                                                                                                                                                                                                                                                                                                                                                                                                                                                                                                                                                                                                                                                                                                                                                                                                                                                                                                </w:t>
      </w:r>
      <w:r>
        <w:rPr>
          <w:rFonts w:hint="eastAsia" w:asciiTheme="minorEastAsia" w:hAnsiTheme="minorEastAsia" w:cstheme="minorEastAsia"/>
          <w:sz w:val="24"/>
        </w:rPr>
        <w:t xml:space="preserve">                                                                                                                                                                                                                                                                                                                                                                                                                                                                                                                                                                                                                                                                                                                                                                                                                                                                                                                                                                                                                                                                                                                                                                                                                                                                                                                                                                                                                                                                                                                                                                                                                                                                                                                                                                                                                                                                                                                                                                                                                                                                                                                                                                                                                                                                                                                                                                                                                                                                                                                                                                                                                                                                                                                                                                                                                                                                                                                                                                                                                                                                                                                                                                                                                                                                                                                                                                                                                                                                                                                                                                                                                                                                                                                                                                                                                                                                                                                                                                                                                                                                                                                                                                                                                </w:t>
      </w:r>
      <w:r>
        <w:rPr>
          <w:rFonts w:hint="eastAsia" w:asciiTheme="minorEastAsia" w:hAnsiTheme="minorEastAsia" w:cstheme="minorEastAsia"/>
          <w:sz w:val="24"/>
        </w:rPr>
        <w:t xml:space="preserve">                                                                                                                                                                                                                                                                                                                                                                                                                                                                                                                                                                                                                                                                                                                                                                                                                                                                                                                                           </w:t>
      </w:r>
    </w:p>
    <w:p w14:paraId="198286C8">
      <w:pPr>
        <w:spacing w:line="360" w:lineRule="auto"/>
        <w:rPr>
          <w:rFonts w:asciiTheme="minorEastAsia" w:hAnsiTheme="minorEastAsia" w:cstheme="minorEastAsia"/>
          <w:sz w:val="24"/>
        </w:rPr>
      </w:pPr>
    </w:p>
    <w:p w14:paraId="7C25EBFC">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培养优势:</w:t>
      </w:r>
    </w:p>
    <w:p w14:paraId="001EBD62">
      <w:pPr>
        <w:spacing w:line="360" w:lineRule="auto"/>
        <w:ind w:firstLine="602" w:firstLineChars="250"/>
        <w:rPr>
          <w:rFonts w:asciiTheme="minorEastAsia" w:hAnsiTheme="minorEastAsia" w:cstheme="minorEastAsia"/>
          <w:sz w:val="24"/>
        </w:rPr>
      </w:pPr>
      <w:r>
        <w:rPr>
          <w:rFonts w:hint="eastAsia" w:asciiTheme="minorEastAsia" w:hAnsiTheme="minorEastAsia" w:cstheme="minorEastAsia"/>
          <w:b/>
          <w:bCs/>
          <w:sz w:val="24"/>
        </w:rPr>
        <w:t xml:space="preserve"> </w:t>
      </w:r>
      <w:r>
        <w:rPr>
          <w:rFonts w:hint="eastAsia" w:asciiTheme="minorEastAsia" w:hAnsiTheme="minorEastAsia" w:cstheme="minorEastAsia"/>
          <w:sz w:val="24"/>
        </w:rPr>
        <w:t xml:space="preserve"> 1、免试入学：本科以上获得学士学位，毕业三年以上在职人员即可报名参加，先学习再考试，有足够充分的准备和学习课程的时间；</w:t>
      </w:r>
    </w:p>
    <w:p w14:paraId="5949E348">
      <w:pPr>
        <w:spacing w:line="360" w:lineRule="auto"/>
        <w:ind w:firstLine="720" w:firstLineChars="300"/>
        <w:rPr>
          <w:rFonts w:asciiTheme="minorEastAsia" w:hAnsiTheme="minorEastAsia" w:cstheme="minorEastAsia"/>
          <w:sz w:val="24"/>
        </w:rPr>
      </w:pPr>
      <w:r>
        <w:rPr>
          <w:rFonts w:hint="eastAsia" w:asciiTheme="minorEastAsia" w:hAnsiTheme="minorEastAsia" w:cstheme="minorEastAsia"/>
          <w:sz w:val="24"/>
        </w:rPr>
        <w:t>2、专业优势：学院是江西省地理学人才培养的领军阵地和江西省地理科学研究的创新中心，有人文地理学、区域经济学、自然地理学、地理教学论、地图学与地理信息系统5个硕士学位授予点，获批地理学一级学科博士点授予权单位；</w:t>
      </w:r>
    </w:p>
    <w:p w14:paraId="2C681B44">
      <w:pPr>
        <w:spacing w:line="360" w:lineRule="auto"/>
        <w:ind w:firstLine="720" w:firstLineChars="300"/>
        <w:rPr>
          <w:rFonts w:asciiTheme="minorEastAsia" w:hAnsiTheme="minorEastAsia" w:cstheme="minorEastAsia"/>
          <w:sz w:val="24"/>
        </w:rPr>
      </w:pPr>
      <w:r>
        <w:rPr>
          <w:rFonts w:hint="eastAsia" w:asciiTheme="minorEastAsia" w:hAnsiTheme="minorEastAsia" w:cstheme="minorEastAsia"/>
          <w:sz w:val="24"/>
        </w:rPr>
        <w:t>3、师资优势：学院师资雄厚，合理构架，具有博士学位教师人数占81%；具有半年及以上海外学习经历的教师人数占50%；</w:t>
      </w:r>
    </w:p>
    <w:p w14:paraId="75349865">
      <w:pPr>
        <w:spacing w:line="360" w:lineRule="auto"/>
        <w:ind w:firstLine="720" w:firstLineChars="300"/>
        <w:rPr>
          <w:rFonts w:asciiTheme="minorEastAsia" w:hAnsiTheme="minorEastAsia" w:cstheme="minorEastAsia"/>
          <w:sz w:val="24"/>
        </w:rPr>
      </w:pPr>
      <w:r>
        <w:rPr>
          <w:rFonts w:hint="eastAsia" w:asciiTheme="minorEastAsia" w:hAnsiTheme="minorEastAsia" w:cstheme="minorEastAsia"/>
          <w:sz w:val="24"/>
        </w:rPr>
        <w:t>4、人脉优势：学院十分重视国际交流与合作。学院通过加强与国内外高校、学术研究机构的交流和合作，进一步提升了办学水平和学术声誉，2013年成立了中美“湖泊-流域-湿地”联合研究中心，2017年成立了中俄“湖泊-流域-湿地”联合研究中心；</w:t>
      </w:r>
    </w:p>
    <w:p w14:paraId="66E29B51">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5、学习优势：学院面向全国招生，开设远程网络课程培训，方便全国各地学员随时随地便捷学习，上课时间灵活多变，不影响在职社会人员的工作和生活节奏。</w:t>
      </w:r>
    </w:p>
    <w:p w14:paraId="0F9C605F">
      <w:pPr>
        <w:rPr>
          <w:rFonts w:asciiTheme="minorEastAsia" w:hAnsiTheme="minorEastAsia" w:cstheme="minorEastAsia"/>
          <w:b/>
          <w:bCs/>
          <w:sz w:val="24"/>
        </w:rPr>
      </w:pPr>
    </w:p>
    <w:p w14:paraId="5CC41939">
      <w:pPr>
        <w:spacing w:line="360" w:lineRule="auto"/>
        <w:ind w:left="525" w:leftChars="250"/>
        <w:rPr>
          <w:rFonts w:asciiTheme="minorEastAsia" w:hAnsiTheme="minorEastAsia" w:cstheme="minorEastAsia"/>
          <w:sz w:val="24"/>
        </w:rPr>
      </w:pPr>
      <w:r>
        <w:rPr>
          <w:rFonts w:hint="eastAsia" w:asciiTheme="minorEastAsia" w:hAnsiTheme="minorEastAsia" w:cstheme="minorEastAsia"/>
          <w:sz w:val="24"/>
        </w:rPr>
        <w:t xml:space="preserve">   </w:t>
      </w:r>
    </w:p>
    <w:p w14:paraId="7A8143A3">
      <w:pPr>
        <w:spacing w:line="360" w:lineRule="auto"/>
        <w:ind w:left="525" w:leftChars="250"/>
        <w:rPr>
          <w:rFonts w:asciiTheme="minorEastAsia" w:hAnsiTheme="minorEastAsia" w:cstheme="minorEastAsia"/>
          <w:sz w:val="24"/>
        </w:rPr>
      </w:pPr>
    </w:p>
    <w:p w14:paraId="003F0813">
      <w:pPr>
        <w:spacing w:line="360" w:lineRule="auto"/>
        <w:ind w:left="525" w:leftChars="250"/>
        <w:rPr>
          <w:rFonts w:asciiTheme="minorEastAsia" w:hAnsiTheme="minorEastAsia" w:cstheme="minorEastAsia"/>
          <w:sz w:val="24"/>
        </w:rPr>
      </w:pPr>
    </w:p>
    <w:p w14:paraId="656504E4">
      <w:pPr>
        <w:spacing w:line="360" w:lineRule="auto"/>
        <w:ind w:left="525" w:leftChars="250"/>
        <w:rPr>
          <w:rFonts w:asciiTheme="minorEastAsia" w:hAnsiTheme="minorEastAsia" w:cstheme="minorEastAsia"/>
          <w:sz w:val="24"/>
        </w:rPr>
      </w:pPr>
    </w:p>
    <w:p w14:paraId="47D3768D">
      <w:pPr>
        <w:spacing w:line="360" w:lineRule="auto"/>
        <w:ind w:left="525" w:leftChars="250"/>
        <w:rPr>
          <w:rFonts w:asciiTheme="minorEastAsia" w:hAnsiTheme="minorEastAsia" w:cstheme="minorEastAsia"/>
          <w:sz w:val="24"/>
        </w:rPr>
      </w:pPr>
    </w:p>
    <w:p w14:paraId="0098CA79">
      <w:pPr>
        <w:spacing w:line="360" w:lineRule="auto"/>
        <w:ind w:left="525" w:leftChars="250"/>
        <w:rPr>
          <w:rFonts w:asciiTheme="minorEastAsia" w:hAnsiTheme="minorEastAsia" w:cstheme="minorEastAsia"/>
          <w:sz w:val="24"/>
        </w:rPr>
      </w:pPr>
    </w:p>
    <w:p w14:paraId="509DC229">
      <w:pPr>
        <w:rPr>
          <w:rFonts w:asciiTheme="minorEastAsia" w:hAnsiTheme="minorEastAsia" w:cstheme="minorEastAsia"/>
          <w:b/>
          <w:bCs/>
          <w:sz w:val="24"/>
        </w:rPr>
      </w:pPr>
    </w:p>
    <w:p w14:paraId="326D7B56">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课程设置：</w:t>
      </w:r>
    </w:p>
    <w:p w14:paraId="5C89F53B">
      <w:pPr>
        <w:rPr>
          <w:rFonts w:asciiTheme="minorEastAsia" w:hAnsiTheme="minorEastAsia" w:cstheme="minorEastAsia"/>
          <w:b/>
          <w:bCs/>
          <w:sz w:val="24"/>
        </w:rPr>
      </w:pPr>
    </w:p>
    <w:tbl>
      <w:tblPr>
        <w:tblStyle w:val="7"/>
        <w:tblW w:w="8379" w:type="dxa"/>
        <w:tblInd w:w="0" w:type="dxa"/>
        <w:tblLayout w:type="autofit"/>
        <w:tblCellMar>
          <w:top w:w="0" w:type="dxa"/>
          <w:left w:w="0" w:type="dxa"/>
          <w:bottom w:w="0" w:type="dxa"/>
          <w:right w:w="0" w:type="dxa"/>
        </w:tblCellMar>
      </w:tblPr>
      <w:tblGrid>
        <w:gridCol w:w="1275"/>
        <w:gridCol w:w="3276"/>
        <w:gridCol w:w="709"/>
        <w:gridCol w:w="567"/>
        <w:gridCol w:w="851"/>
        <w:gridCol w:w="1701"/>
      </w:tblGrid>
      <w:tr w14:paraId="26D7A925">
        <w:tblPrEx>
          <w:tblCellMar>
            <w:top w:w="0" w:type="dxa"/>
            <w:left w:w="0" w:type="dxa"/>
            <w:bottom w:w="0" w:type="dxa"/>
            <w:right w:w="0" w:type="dxa"/>
          </w:tblCellMar>
        </w:tblPrEx>
        <w:trPr>
          <w:trHeight w:val="567" w:hRule="atLeast"/>
        </w:trPr>
        <w:tc>
          <w:tcPr>
            <w:tcW w:w="1275"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BC2191">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课程类别</w:t>
            </w: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68A493">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课程名称</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47E296">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学时</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0A89DA4">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学分</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8B25A5">
            <w:pPr>
              <w:widowControl/>
              <w:jc w:val="center"/>
              <w:textAlignment w:val="center"/>
              <w:rPr>
                <w:rFonts w:ascii="宋体" w:hAnsi="宋体" w:eastAsia="宋体" w:cs="宋体"/>
                <w:b/>
                <w:color w:val="000000"/>
                <w:kern w:val="0"/>
                <w:szCs w:val="21"/>
              </w:rPr>
            </w:pPr>
            <w:r>
              <w:rPr>
                <w:rFonts w:hint="eastAsia" w:ascii="宋体" w:hAnsi="宋体" w:eastAsia="宋体" w:cs="宋体"/>
                <w:b/>
                <w:color w:val="000000"/>
                <w:kern w:val="0"/>
                <w:szCs w:val="21"/>
              </w:rPr>
              <w:t>开课</w:t>
            </w:r>
          </w:p>
          <w:p w14:paraId="279D0BF4">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学期</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CE750A">
            <w:pPr>
              <w:widowControl/>
              <w:jc w:val="center"/>
              <w:textAlignment w:val="center"/>
              <w:rPr>
                <w:rFonts w:ascii="宋体" w:hAnsi="宋体" w:eastAsia="宋体" w:cs="宋体"/>
                <w:b/>
                <w:color w:val="000000"/>
                <w:szCs w:val="21"/>
              </w:rPr>
            </w:pPr>
            <w:r>
              <w:rPr>
                <w:rFonts w:hint="eastAsia" w:ascii="宋体" w:hAnsi="宋体" w:eastAsia="宋体" w:cs="宋体"/>
                <w:b/>
                <w:color w:val="000000"/>
                <w:kern w:val="0"/>
                <w:szCs w:val="21"/>
              </w:rPr>
              <w:t>任课老师</w:t>
            </w:r>
          </w:p>
        </w:tc>
      </w:tr>
      <w:tr w14:paraId="79A36FC0">
        <w:tblPrEx>
          <w:tblCellMar>
            <w:top w:w="0" w:type="dxa"/>
            <w:left w:w="0" w:type="dxa"/>
            <w:bottom w:w="0" w:type="dxa"/>
            <w:right w:w="0" w:type="dxa"/>
          </w:tblCellMar>
        </w:tblPrEx>
        <w:trPr>
          <w:trHeight w:val="567" w:hRule="atLeast"/>
        </w:trPr>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D726E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公共课</w:t>
            </w: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9BFA5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英语</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27BC3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54</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5E35A0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4</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342B66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CFB020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学校统一安排</w:t>
            </w:r>
          </w:p>
        </w:tc>
      </w:tr>
      <w:tr w14:paraId="504259B6">
        <w:tblPrEx>
          <w:tblCellMar>
            <w:top w:w="0" w:type="dxa"/>
            <w:left w:w="0" w:type="dxa"/>
            <w:bottom w:w="0" w:type="dxa"/>
            <w:right w:w="0" w:type="dxa"/>
          </w:tblCellMar>
        </w:tblPrEx>
        <w:trPr>
          <w:trHeight w:val="567" w:hRule="atLeast"/>
        </w:trPr>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6D1C58">
            <w:pPr>
              <w:jc w:val="center"/>
              <w:rPr>
                <w:rFonts w:ascii="宋体" w:hAnsi="宋体" w:eastAsia="宋体" w:cs="宋体"/>
                <w:color w:val="000000"/>
                <w:szCs w:val="21"/>
              </w:rPr>
            </w:pP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8C4821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中国特色社会主义理论与实践研究</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7BF94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FC1CA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13E91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B8E4B0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学校统一安排</w:t>
            </w:r>
          </w:p>
        </w:tc>
      </w:tr>
      <w:tr w14:paraId="71E15CB8">
        <w:tblPrEx>
          <w:tblCellMar>
            <w:top w:w="0" w:type="dxa"/>
            <w:left w:w="0" w:type="dxa"/>
            <w:bottom w:w="0" w:type="dxa"/>
            <w:right w:w="0" w:type="dxa"/>
          </w:tblCellMar>
        </w:tblPrEx>
        <w:trPr>
          <w:trHeight w:val="567" w:hRule="atLeast"/>
        </w:trPr>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219461">
            <w:pPr>
              <w:jc w:val="center"/>
              <w:rPr>
                <w:rFonts w:ascii="宋体" w:hAnsi="宋体" w:eastAsia="宋体" w:cs="宋体"/>
                <w:color w:val="000000"/>
                <w:szCs w:val="21"/>
              </w:rPr>
            </w:pP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401A4F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马克思主义与社会科学方法论</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93DA62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18</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1412B3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20383E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4FF355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学校统一安排</w:t>
            </w:r>
          </w:p>
        </w:tc>
      </w:tr>
      <w:tr w14:paraId="7035879E">
        <w:tblPrEx>
          <w:tblCellMar>
            <w:top w:w="0" w:type="dxa"/>
            <w:left w:w="0" w:type="dxa"/>
            <w:bottom w:w="0" w:type="dxa"/>
            <w:right w:w="0" w:type="dxa"/>
          </w:tblCellMar>
        </w:tblPrEx>
        <w:trPr>
          <w:trHeight w:val="567" w:hRule="atLeast"/>
        </w:trPr>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661BD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专业核心课</w:t>
            </w: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AB921E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现代自然地理学</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D983C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54</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6964B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A56573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71618A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贾玉连、胡启武</w:t>
            </w:r>
          </w:p>
        </w:tc>
      </w:tr>
      <w:tr w14:paraId="25FA192A">
        <w:tblPrEx>
          <w:tblCellMar>
            <w:top w:w="0" w:type="dxa"/>
            <w:left w:w="0" w:type="dxa"/>
            <w:bottom w:w="0" w:type="dxa"/>
            <w:right w:w="0" w:type="dxa"/>
          </w:tblCellMar>
        </w:tblPrEx>
        <w:trPr>
          <w:trHeight w:val="567" w:hRule="atLeast"/>
        </w:trPr>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6C5C998">
            <w:pPr>
              <w:jc w:val="center"/>
              <w:rPr>
                <w:rFonts w:ascii="宋体" w:hAnsi="宋体" w:eastAsia="宋体" w:cs="宋体"/>
                <w:color w:val="000000"/>
                <w:szCs w:val="21"/>
              </w:rPr>
            </w:pP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24138A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现代人文地理学</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3C87A3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54</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88E2942">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1BE7D2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559FAB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马定国、郑林</w:t>
            </w:r>
          </w:p>
        </w:tc>
      </w:tr>
      <w:tr w14:paraId="306A885A">
        <w:tblPrEx>
          <w:tblCellMar>
            <w:top w:w="0" w:type="dxa"/>
            <w:left w:w="0" w:type="dxa"/>
            <w:bottom w:w="0" w:type="dxa"/>
            <w:right w:w="0" w:type="dxa"/>
          </w:tblCellMar>
        </w:tblPrEx>
        <w:trPr>
          <w:trHeight w:val="567" w:hRule="atLeast"/>
        </w:trPr>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E0521F">
            <w:pPr>
              <w:jc w:val="center"/>
              <w:rPr>
                <w:rFonts w:ascii="宋体" w:hAnsi="宋体" w:eastAsia="宋体" w:cs="宋体"/>
                <w:color w:val="000000"/>
                <w:szCs w:val="21"/>
              </w:rPr>
            </w:pP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D65DA2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地理信息系统应用</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A8C13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54</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98840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9946E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EC6AA4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赖格英、赵安</w:t>
            </w:r>
          </w:p>
        </w:tc>
      </w:tr>
      <w:tr w14:paraId="21A8BD4B">
        <w:tblPrEx>
          <w:tblCellMar>
            <w:top w:w="0" w:type="dxa"/>
            <w:left w:w="0" w:type="dxa"/>
            <w:bottom w:w="0" w:type="dxa"/>
            <w:right w:w="0" w:type="dxa"/>
          </w:tblCellMar>
        </w:tblPrEx>
        <w:trPr>
          <w:trHeight w:val="567" w:hRule="atLeast"/>
        </w:trPr>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9819C04">
            <w:pPr>
              <w:jc w:val="center"/>
              <w:rPr>
                <w:rFonts w:ascii="宋体" w:hAnsi="宋体" w:eastAsia="宋体" w:cs="宋体"/>
                <w:color w:val="000000"/>
                <w:szCs w:val="21"/>
              </w:rPr>
            </w:pP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EFA505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系统学与地理学ABC</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471F5E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54</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8D70E9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6A5E05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29CE72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贾玉连</w:t>
            </w:r>
          </w:p>
        </w:tc>
      </w:tr>
      <w:tr w14:paraId="09BF1443">
        <w:tblPrEx>
          <w:tblCellMar>
            <w:top w:w="0" w:type="dxa"/>
            <w:left w:w="0" w:type="dxa"/>
            <w:bottom w:w="0" w:type="dxa"/>
            <w:right w:w="0" w:type="dxa"/>
          </w:tblCellMar>
        </w:tblPrEx>
        <w:trPr>
          <w:trHeight w:val="567" w:hRule="atLeast"/>
        </w:trPr>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90081E8">
            <w:pPr>
              <w:jc w:val="center"/>
              <w:rPr>
                <w:rFonts w:ascii="宋体" w:hAnsi="宋体" w:eastAsia="宋体" w:cs="宋体"/>
                <w:color w:val="000000"/>
                <w:szCs w:val="21"/>
              </w:rPr>
            </w:pP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57ECAC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区域规划理论与实践ABCD</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F30DB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54</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1BC39C">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8E7548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C88DA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郑林</w:t>
            </w:r>
          </w:p>
        </w:tc>
      </w:tr>
      <w:tr w14:paraId="4ACC783E">
        <w:tblPrEx>
          <w:tblCellMar>
            <w:top w:w="0" w:type="dxa"/>
            <w:left w:w="0" w:type="dxa"/>
            <w:bottom w:w="0" w:type="dxa"/>
            <w:right w:w="0" w:type="dxa"/>
          </w:tblCellMar>
        </w:tblPrEx>
        <w:trPr>
          <w:trHeight w:val="567" w:hRule="atLeast"/>
        </w:trPr>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360EB46">
            <w:pPr>
              <w:jc w:val="center"/>
              <w:rPr>
                <w:rFonts w:ascii="宋体" w:hAnsi="宋体" w:eastAsia="宋体" w:cs="宋体"/>
                <w:color w:val="000000"/>
                <w:szCs w:val="21"/>
              </w:rPr>
            </w:pP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B82BE4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资源与环境遥感ACD</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F1A8C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54</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0AFA29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A5843F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CFE65A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齐述华、赵红梅、赖格英等</w:t>
            </w:r>
          </w:p>
        </w:tc>
      </w:tr>
      <w:tr w14:paraId="1D7A3E44">
        <w:tblPrEx>
          <w:tblCellMar>
            <w:top w:w="0" w:type="dxa"/>
            <w:left w:w="0" w:type="dxa"/>
            <w:bottom w:w="0" w:type="dxa"/>
            <w:right w:w="0" w:type="dxa"/>
          </w:tblCellMar>
        </w:tblPrEx>
        <w:trPr>
          <w:trHeight w:val="567" w:hRule="atLeast"/>
        </w:trPr>
        <w:tc>
          <w:tcPr>
            <w:tcW w:w="1275" w:type="dxa"/>
            <w:vMerge w:val="restart"/>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543295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专业方向课</w:t>
            </w: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E9E5B3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沉积环境与沉积岩学</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6F44F1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138D6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A26554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7859C4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贾玉连、李晓峰</w:t>
            </w:r>
          </w:p>
        </w:tc>
      </w:tr>
      <w:tr w14:paraId="79DF01F2">
        <w:tblPrEx>
          <w:tblCellMar>
            <w:top w:w="0" w:type="dxa"/>
            <w:left w:w="0" w:type="dxa"/>
            <w:bottom w:w="0" w:type="dxa"/>
            <w:right w:w="0" w:type="dxa"/>
          </w:tblCellMar>
        </w:tblPrEx>
        <w:trPr>
          <w:trHeight w:val="567" w:hRule="atLeast"/>
        </w:trPr>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68334">
            <w:pPr>
              <w:jc w:val="center"/>
              <w:rPr>
                <w:rFonts w:ascii="宋体" w:hAnsi="宋体" w:eastAsia="宋体" w:cs="宋体"/>
                <w:color w:val="000000"/>
                <w:szCs w:val="21"/>
              </w:rPr>
            </w:pP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6F7CCF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全球变化与区域响应</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466BA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D0368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8D32A3F">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35289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丁明军、贾玉连</w:t>
            </w:r>
          </w:p>
        </w:tc>
      </w:tr>
      <w:tr w14:paraId="295E6062">
        <w:tblPrEx>
          <w:tblCellMar>
            <w:top w:w="0" w:type="dxa"/>
            <w:left w:w="0" w:type="dxa"/>
            <w:bottom w:w="0" w:type="dxa"/>
            <w:right w:w="0" w:type="dxa"/>
          </w:tblCellMar>
        </w:tblPrEx>
        <w:trPr>
          <w:trHeight w:val="567" w:hRule="atLeast"/>
        </w:trPr>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075ABF7E">
            <w:pPr>
              <w:jc w:val="center"/>
              <w:rPr>
                <w:rFonts w:ascii="宋体" w:hAnsi="宋体" w:eastAsia="宋体" w:cs="宋体"/>
                <w:color w:val="000000"/>
                <w:szCs w:val="21"/>
              </w:rPr>
            </w:pP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AF1043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现代区域经济学</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79EBB74">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2F2DF7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EFEAC58">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8816DA7">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马定国</w:t>
            </w:r>
          </w:p>
        </w:tc>
      </w:tr>
      <w:tr w14:paraId="58051F52">
        <w:tblPrEx>
          <w:tblCellMar>
            <w:top w:w="0" w:type="dxa"/>
            <w:left w:w="0" w:type="dxa"/>
            <w:bottom w:w="0" w:type="dxa"/>
            <w:right w:w="0" w:type="dxa"/>
          </w:tblCellMar>
        </w:tblPrEx>
        <w:trPr>
          <w:trHeight w:val="567" w:hRule="atLeast"/>
        </w:trPr>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A8811F">
            <w:pPr>
              <w:jc w:val="center"/>
              <w:rPr>
                <w:rFonts w:ascii="宋体" w:hAnsi="宋体" w:eastAsia="宋体" w:cs="宋体"/>
                <w:color w:val="000000"/>
                <w:szCs w:val="21"/>
              </w:rPr>
            </w:pP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9F1E831">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城市发展研究</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1B7278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28D3BAE">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639B599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153E7C5">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郑林</w:t>
            </w:r>
          </w:p>
        </w:tc>
      </w:tr>
      <w:tr w14:paraId="149AC47E">
        <w:tblPrEx>
          <w:tblCellMar>
            <w:top w:w="0" w:type="dxa"/>
            <w:left w:w="0" w:type="dxa"/>
            <w:bottom w:w="0" w:type="dxa"/>
            <w:right w:w="0" w:type="dxa"/>
          </w:tblCellMar>
        </w:tblPrEx>
        <w:trPr>
          <w:trHeight w:val="567" w:hRule="atLeast"/>
        </w:trPr>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99C872C">
            <w:pPr>
              <w:jc w:val="center"/>
              <w:rPr>
                <w:rFonts w:ascii="宋体" w:hAnsi="宋体" w:eastAsia="宋体" w:cs="宋体"/>
                <w:color w:val="000000"/>
                <w:szCs w:val="21"/>
              </w:rPr>
            </w:pP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A213F8D">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GIS项目管理</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4E830949">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6D057A0">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C1E131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834E238">
            <w:pPr>
              <w:widowControl/>
              <w:jc w:val="center"/>
              <w:textAlignment w:val="center"/>
              <w:rPr>
                <w:rFonts w:ascii="宋体" w:hAnsi="宋体" w:eastAsia="宋体" w:cs="宋体"/>
                <w:color w:val="000000"/>
                <w:kern w:val="0"/>
                <w:szCs w:val="21"/>
              </w:rPr>
            </w:pPr>
            <w:r>
              <w:rPr>
                <w:rFonts w:hint="eastAsia" w:ascii="宋体" w:hAnsi="宋体" w:eastAsia="宋体" w:cs="宋体"/>
                <w:color w:val="000000"/>
                <w:kern w:val="0"/>
                <w:szCs w:val="21"/>
              </w:rPr>
              <w:t>夏宇、罗津、</w:t>
            </w:r>
          </w:p>
          <w:p w14:paraId="480D756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章汉武等</w:t>
            </w:r>
          </w:p>
        </w:tc>
      </w:tr>
      <w:tr w14:paraId="22B281CE">
        <w:tblPrEx>
          <w:tblCellMar>
            <w:top w:w="0" w:type="dxa"/>
            <w:left w:w="0" w:type="dxa"/>
            <w:bottom w:w="0" w:type="dxa"/>
            <w:right w:w="0" w:type="dxa"/>
          </w:tblCellMar>
        </w:tblPrEx>
        <w:trPr>
          <w:trHeight w:val="567" w:hRule="atLeast"/>
        </w:trPr>
        <w:tc>
          <w:tcPr>
            <w:tcW w:w="1275" w:type="dxa"/>
            <w:vMerge w:val="continue"/>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3ACECF74">
            <w:pPr>
              <w:jc w:val="center"/>
              <w:rPr>
                <w:rFonts w:ascii="宋体" w:hAnsi="宋体" w:eastAsia="宋体" w:cs="宋体"/>
                <w:color w:val="000000"/>
                <w:szCs w:val="21"/>
              </w:rPr>
            </w:pPr>
          </w:p>
        </w:tc>
        <w:tc>
          <w:tcPr>
            <w:tcW w:w="3276"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E903D3B">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现代地理学中的数学方法</w:t>
            </w:r>
          </w:p>
        </w:tc>
        <w:tc>
          <w:tcPr>
            <w:tcW w:w="709"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75003D9A">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36</w:t>
            </w:r>
          </w:p>
        </w:tc>
        <w:tc>
          <w:tcPr>
            <w:tcW w:w="567"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14BD3BF3">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2</w:t>
            </w:r>
          </w:p>
        </w:tc>
        <w:tc>
          <w:tcPr>
            <w:tcW w:w="85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573AA67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1</w:t>
            </w:r>
          </w:p>
        </w:tc>
        <w:tc>
          <w:tcPr>
            <w:tcW w:w="1701" w:type="dxa"/>
            <w:tcBorders>
              <w:top w:val="single" w:color="000000" w:sz="4" w:space="0"/>
              <w:left w:val="single" w:color="000000" w:sz="4" w:space="0"/>
              <w:bottom w:val="single" w:color="000000" w:sz="4" w:space="0"/>
              <w:right w:val="single" w:color="000000" w:sz="4" w:space="0"/>
            </w:tcBorders>
            <w:shd w:val="clear" w:color="auto" w:fill="auto"/>
            <w:tcMar>
              <w:top w:w="15" w:type="dxa"/>
              <w:left w:w="15" w:type="dxa"/>
              <w:right w:w="15" w:type="dxa"/>
            </w:tcMar>
            <w:vAlign w:val="center"/>
          </w:tcPr>
          <w:p w14:paraId="2052C8E6">
            <w:pPr>
              <w:widowControl/>
              <w:jc w:val="center"/>
              <w:textAlignment w:val="center"/>
              <w:rPr>
                <w:rFonts w:ascii="宋体" w:hAnsi="宋体" w:eastAsia="宋体" w:cs="宋体"/>
                <w:color w:val="000000"/>
                <w:szCs w:val="21"/>
              </w:rPr>
            </w:pPr>
            <w:r>
              <w:rPr>
                <w:rFonts w:hint="eastAsia" w:ascii="宋体" w:hAnsi="宋体" w:eastAsia="宋体" w:cs="宋体"/>
                <w:color w:val="000000"/>
                <w:kern w:val="0"/>
                <w:szCs w:val="21"/>
              </w:rPr>
              <w:t>赵安、胡碧松等</w:t>
            </w:r>
          </w:p>
        </w:tc>
      </w:tr>
    </w:tbl>
    <w:p w14:paraId="32F504F0">
      <w:pPr>
        <w:rPr>
          <w:rFonts w:asciiTheme="minorEastAsia" w:hAnsiTheme="minorEastAsia" w:cstheme="minorEastAsia"/>
          <w:b/>
          <w:bCs/>
          <w:sz w:val="24"/>
        </w:rPr>
      </w:pPr>
    </w:p>
    <w:p w14:paraId="2EA9E4C5">
      <w:pPr>
        <w:rPr>
          <w:rFonts w:ascii="宋体" w:hAnsi="宋体"/>
          <w:bCs/>
          <w:color w:val="000000"/>
          <w:sz w:val="22"/>
          <w:szCs w:val="18"/>
        </w:rPr>
      </w:pPr>
      <w:r>
        <w:rPr>
          <w:rFonts w:hint="eastAsia" w:asciiTheme="minorEastAsia" w:hAnsiTheme="minorEastAsia" w:cstheme="minorEastAsia"/>
          <w:b/>
          <w:bCs/>
          <w:sz w:val="24"/>
        </w:rPr>
        <w:t xml:space="preserve">             </w:t>
      </w:r>
      <w:r>
        <w:rPr>
          <w:rFonts w:hint="eastAsia" w:asciiTheme="minorEastAsia" w:hAnsiTheme="minorEastAsia" w:cstheme="minorEastAsia"/>
          <w:sz w:val="24"/>
        </w:rPr>
        <w:t xml:space="preserve"> </w:t>
      </w:r>
      <w:r>
        <w:rPr>
          <w:rFonts w:hint="eastAsia" w:ascii="宋体" w:hAnsi="宋体"/>
          <w:bCs/>
          <w:color w:val="000000"/>
          <w:sz w:val="22"/>
          <w:szCs w:val="18"/>
        </w:rPr>
        <w:t xml:space="preserve">   备注：具体以实际安排课程为准</w:t>
      </w:r>
    </w:p>
    <w:p w14:paraId="000D550D">
      <w:pPr>
        <w:rPr>
          <w:rFonts w:asciiTheme="minorEastAsia" w:hAnsiTheme="minorEastAsia" w:cstheme="minorEastAsia"/>
          <w:b/>
          <w:bCs/>
          <w:sz w:val="24"/>
        </w:rPr>
      </w:pPr>
    </w:p>
    <w:p w14:paraId="7EEC38C0">
      <w:pPr>
        <w:rPr>
          <w:rFonts w:asciiTheme="minorEastAsia" w:hAnsiTheme="minorEastAsia" w:cstheme="minorEastAsia"/>
          <w:b/>
          <w:bCs/>
          <w:sz w:val="24"/>
        </w:rPr>
      </w:pPr>
    </w:p>
    <w:p w14:paraId="157FF6D1">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报考条件：</w:t>
      </w:r>
    </w:p>
    <w:p w14:paraId="7C02A061">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1、拥护《中华人民共和国宪法》,遵守法律、法规，品行端正。</w:t>
      </w:r>
    </w:p>
    <w:p w14:paraId="258635A7">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2、申请人已获得学士学位，且获得学士学位后工作三年以上，或虽无学士学位但已获得硕士或博士学位者；或通过教育部留学中心认证的国（境）外学士、硕士或博士学位获得者。</w:t>
      </w:r>
    </w:p>
    <w:p w14:paraId="4BB6B947">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3、在教学、科研、专门技术、管理等方面做出成绩，具有研究生毕业同等学力，学术水平或专门技术水平已达到学位授予标准的人员。</w:t>
      </w:r>
    </w:p>
    <w:p w14:paraId="447C3723">
      <w:pPr>
        <w:rPr>
          <w:rFonts w:asciiTheme="minorEastAsia" w:hAnsiTheme="minorEastAsia" w:cstheme="minorEastAsia"/>
          <w:b/>
          <w:bCs/>
          <w:sz w:val="24"/>
        </w:rPr>
      </w:pPr>
    </w:p>
    <w:p w14:paraId="5778DACD">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学位申请资格审核相关程序：</w:t>
      </w:r>
    </w:p>
    <w:p w14:paraId="54701638">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1、学院接收拟在我校申请学位的同等学力人员的学位申请，申请人登录同等学力信息平台录入个人信息完成网上报名。</w:t>
      </w:r>
    </w:p>
    <w:p w14:paraId="397BBAD5">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2、研究生院统一组织进行现场确认工作，进行学位申请资格审核并完成头像和指纹采集工作。研究生院统一组织的现场确认工作一般在每年3月完成，具体时间将视情况另行通知。</w:t>
      </w:r>
    </w:p>
    <w:p w14:paraId="4F311E23">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3、申请人不得同时向两个及以上学位授予单位提出申请。</w:t>
      </w:r>
    </w:p>
    <w:p w14:paraId="4F5330F3">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4、申请人完成现场确认并按规定时间缴纳学费后方为通过学位申请资格审核。</w:t>
      </w:r>
    </w:p>
    <w:p w14:paraId="564C5388">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5、学院在每年5月前，向当年通过申请资格审核人员发布同意接受硕士学位申请的通知并组织入学教育，向申请人详细介绍学位申请流程、相关政策要求等。</w:t>
      </w:r>
    </w:p>
    <w:p w14:paraId="5E946D14">
      <w:pPr>
        <w:spacing w:line="360" w:lineRule="auto"/>
        <w:ind w:firstLine="600" w:firstLineChars="250"/>
        <w:rPr>
          <w:rFonts w:asciiTheme="minorEastAsia" w:hAnsiTheme="minorEastAsia" w:cstheme="minorEastAsia"/>
          <w:sz w:val="24"/>
        </w:rPr>
      </w:pPr>
    </w:p>
    <w:p w14:paraId="3ADFF6A8">
      <w:pPr>
        <w:rPr>
          <w:rFonts w:asciiTheme="minorEastAsia" w:hAnsiTheme="minorEastAsia" w:cstheme="minorEastAsia"/>
          <w:b/>
          <w:bCs/>
          <w:sz w:val="24"/>
        </w:rPr>
      </w:pPr>
    </w:p>
    <w:p w14:paraId="0AB104FE">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课程学习阶段和学位论文阶段要求：</w:t>
      </w:r>
    </w:p>
    <w:p w14:paraId="396BA9D2">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1、同等学力人员申请硕士学位分为两个阶段：课程学习阶段（简称第一阶段）和撰写硕士学位论文及答辩阶段（简称第二阶段）。</w:t>
      </w:r>
    </w:p>
    <w:p w14:paraId="4E2D4CC9">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2、第一阶段：申请人自通过资格审查之日起，必须在5年内完成并通过相关学位课程考试，包括培养方案规定的全部课程考试及国家组织的外国语水平及学科综合水平考试，修满规定的学分，获得合格证书。5年内未通过我校组织的课程考试和国家组织的外国语水平及学科综合水平考试者，本次申请无效。</w:t>
      </w:r>
    </w:p>
    <w:p w14:paraId="7D847966">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3、第二阶段：申请人应在全部课程考试通过后（以最后一门课程考试完成的时间为准）进入论文撰写阶段，申请人应在通过全部考试后的一年内提交学位论文，在提交学位论文后的半年内完成学位论文答辩。</w:t>
      </w:r>
    </w:p>
    <w:p w14:paraId="6F6DEA78">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4、第一、第二两阶段的学习期限不超过六年半，逾期未办理相应手续或学位论文未能通过答辩者，本次申请无效。</w:t>
      </w:r>
    </w:p>
    <w:p w14:paraId="2A12B8E8">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5、如论文答辩未通过，但论文答辩委员会建议修改论文后再重新答辩者，可申请一次重新答辩，但需在半年之内通过论文答辩，且重新交纳相关费用，如仍未通过则不能再申请学位。</w:t>
      </w:r>
    </w:p>
    <w:p w14:paraId="46EE8B20">
      <w:pPr>
        <w:spacing w:line="360" w:lineRule="auto"/>
        <w:ind w:firstLine="600" w:firstLineChars="250"/>
        <w:rPr>
          <w:rFonts w:asciiTheme="minorEastAsia" w:hAnsiTheme="minorEastAsia" w:cstheme="minorEastAsia"/>
          <w:sz w:val="24"/>
        </w:rPr>
      </w:pPr>
      <w:r>
        <w:rPr>
          <w:rFonts w:hint="eastAsia" w:asciiTheme="minorEastAsia" w:hAnsiTheme="minorEastAsia" w:cstheme="minorEastAsia"/>
          <w:sz w:val="24"/>
        </w:rPr>
        <w:t>6、学位授予按照我校《江西师范大学关于授予具有研究生毕业同等学力人员硕士学位的管理办法》和《江西师范大学学位授予工作细则》等文件的有关规定办理。</w:t>
      </w:r>
    </w:p>
    <w:p w14:paraId="33D48D6A">
      <w:pPr>
        <w:spacing w:line="360" w:lineRule="auto"/>
        <w:ind w:firstLine="600" w:firstLineChars="250"/>
        <w:rPr>
          <w:rFonts w:asciiTheme="minorEastAsia" w:hAnsiTheme="minorEastAsia" w:cstheme="minorEastAsia"/>
          <w:sz w:val="24"/>
        </w:rPr>
      </w:pPr>
    </w:p>
    <w:p w14:paraId="06E7281E">
      <w:pPr>
        <w:rPr>
          <w:rFonts w:asciiTheme="minorEastAsia" w:hAnsiTheme="minorEastAsia" w:cstheme="minorEastAsia"/>
          <w:b/>
          <w:bCs/>
          <w:sz w:val="24"/>
        </w:rPr>
      </w:pPr>
    </w:p>
    <w:p w14:paraId="10328F20">
      <w:pPr>
        <w:numPr>
          <w:ilvl w:val="0"/>
          <w:numId w:val="1"/>
        </w:numPr>
        <w:rPr>
          <w:rFonts w:asciiTheme="minorEastAsia" w:hAnsiTheme="minorEastAsia" w:cstheme="minorEastAsia"/>
          <w:b/>
          <w:bCs/>
          <w:sz w:val="24"/>
        </w:rPr>
      </w:pPr>
      <w:r>
        <w:rPr>
          <w:rFonts w:hint="eastAsia" w:asciiTheme="minorEastAsia" w:hAnsiTheme="minorEastAsia" w:cstheme="minorEastAsia"/>
          <w:b/>
          <w:bCs/>
          <w:sz w:val="24"/>
        </w:rPr>
        <w:t>收费标准和授课方式：</w:t>
      </w:r>
    </w:p>
    <w:p w14:paraId="7AB334E9">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default" w:asciiTheme="minorEastAsia" w:hAnsiTheme="minorEastAsia" w:cstheme="minorEastAsia"/>
          <w:b w:val="0"/>
          <w:bCs w:val="0"/>
          <w:color w:val="auto"/>
          <w:sz w:val="24"/>
          <w:lang w:val="en-US" w:eastAsia="zh-CN"/>
        </w:rPr>
      </w:pPr>
      <w:r>
        <w:rPr>
          <w:rFonts w:hint="eastAsia" w:asciiTheme="minorEastAsia" w:hAnsiTheme="minorEastAsia" w:cstheme="minorEastAsia"/>
          <w:b w:val="0"/>
          <w:bCs w:val="0"/>
          <w:color w:val="auto"/>
          <w:sz w:val="24"/>
          <w:lang w:val="en-US" w:eastAsia="zh-CN"/>
        </w:rPr>
        <w:t>学费：16000元</w:t>
      </w:r>
    </w:p>
    <w:p w14:paraId="62F9BA15">
      <w:pPr>
        <w:keepNext w:val="0"/>
        <w:keepLines w:val="0"/>
        <w:pageBreakBefore w:val="0"/>
        <w:widowControl w:val="0"/>
        <w:kinsoku/>
        <w:wordWrap/>
        <w:overflowPunct/>
        <w:topLinePunct w:val="0"/>
        <w:autoSpaceDE/>
        <w:autoSpaceDN/>
        <w:bidi w:val="0"/>
        <w:adjustRightInd/>
        <w:snapToGrid/>
        <w:spacing w:line="360" w:lineRule="auto"/>
        <w:ind w:firstLine="720" w:firstLineChars="300"/>
        <w:textAlignment w:val="auto"/>
        <w:rPr>
          <w:rFonts w:hint="default" w:asciiTheme="minorEastAsia" w:hAnsiTheme="minorEastAsia" w:cstheme="minorEastAsia"/>
          <w:b w:val="0"/>
          <w:bCs w:val="0"/>
          <w:color w:val="auto"/>
          <w:sz w:val="24"/>
          <w:lang w:val="en-US" w:eastAsia="zh-CN"/>
        </w:rPr>
      </w:pPr>
      <w:r>
        <w:rPr>
          <w:rFonts w:hint="eastAsia" w:asciiTheme="minorEastAsia" w:hAnsiTheme="minorEastAsia" w:cstheme="minorEastAsia"/>
          <w:b w:val="0"/>
          <w:bCs w:val="0"/>
          <w:color w:val="auto"/>
          <w:sz w:val="24"/>
          <w:lang w:val="en-US" w:eastAsia="zh-CN"/>
        </w:rPr>
        <w:t>论文答辩费：9700元</w:t>
      </w:r>
    </w:p>
    <w:p w14:paraId="296EF354">
      <w:pPr>
        <w:keepNext w:val="0"/>
        <w:keepLines w:val="0"/>
        <w:pageBreakBefore w:val="0"/>
        <w:widowControl w:val="0"/>
        <w:kinsoku/>
        <w:wordWrap/>
        <w:overflowPunct/>
        <w:topLinePunct w:val="0"/>
        <w:autoSpaceDE/>
        <w:autoSpaceDN/>
        <w:bidi w:val="0"/>
        <w:adjustRightInd/>
        <w:snapToGrid/>
        <w:spacing w:line="360" w:lineRule="auto"/>
        <w:textAlignment w:val="auto"/>
        <w:rPr>
          <w:rFonts w:hint="default" w:asciiTheme="minorEastAsia" w:hAnsiTheme="minorEastAsia" w:cstheme="minorEastAsia"/>
          <w:b w:val="0"/>
          <w:bCs w:val="0"/>
          <w:color w:val="auto"/>
          <w:sz w:val="24"/>
          <w:lang w:val="en-US" w:eastAsia="zh-CN"/>
        </w:rPr>
      </w:pPr>
      <w:r>
        <w:rPr>
          <w:rFonts w:hint="eastAsia" w:asciiTheme="minorEastAsia" w:hAnsiTheme="minorEastAsia" w:cstheme="minorEastAsia"/>
          <w:b w:val="0"/>
          <w:bCs w:val="0"/>
          <w:color w:val="auto"/>
          <w:sz w:val="24"/>
          <w:lang w:val="en-US" w:eastAsia="zh-CN"/>
        </w:rPr>
        <w:t xml:space="preserve">      授课方式：网络教学</w:t>
      </w:r>
    </w:p>
    <w:p w14:paraId="649434E2">
      <w:pPr>
        <w:rPr>
          <w:rFonts w:asciiTheme="minorEastAsia" w:hAnsiTheme="minorEastAsia" w:cstheme="minorEastAsia"/>
          <w:color w:val="333333"/>
          <w:kern w:val="0"/>
          <w:sz w:val="24"/>
          <w:shd w:val="clear" w:color="auto" w:fill="FFFFFF"/>
        </w:rPr>
      </w:pPr>
    </w:p>
    <w:p w14:paraId="45782715">
      <w:pPr>
        <w:rPr>
          <w:rFonts w:asciiTheme="minorEastAsia" w:hAnsiTheme="minorEastAsia" w:cstheme="minorEastAsia"/>
          <w:b/>
          <w:bCs/>
          <w:sz w:val="24"/>
        </w:rPr>
      </w:pPr>
    </w:p>
    <w:p w14:paraId="7F699BB6"/>
    <w:p w14:paraId="10957F18">
      <w:bookmarkStart w:id="0" w:name="_GoBack"/>
      <w:bookmarkEnd w:id="0"/>
    </w:p>
    <w:sectPr>
      <w:headerReference r:id="rId3" w:type="default"/>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8615970">
    <w:pPr>
      <w:pStyle w:val="5"/>
    </w:pPr>
    <w:r>
      <w:drawing>
        <wp:anchor distT="0" distB="0" distL="114300" distR="114300" simplePos="0" relativeHeight="251659264" behindDoc="1" locked="0" layoutInCell="1" allowOverlap="1">
          <wp:simplePos x="0" y="0"/>
          <wp:positionH relativeFrom="margin">
            <wp:align>center</wp:align>
          </wp:positionH>
          <wp:positionV relativeFrom="margin">
            <wp:align>center</wp:align>
          </wp:positionV>
          <wp:extent cx="5274310" cy="5288915"/>
          <wp:effectExtent l="0" t="0" r="2540" b="6985"/>
          <wp:wrapNone/>
          <wp:docPr id="4" name="WordPictureWatermark52821" descr="江西师大"/>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WordPictureWatermark52821" descr="江西师大"/>
                  <pic:cNvPicPr>
                    <a:picLocks noChangeAspect="1"/>
                  </pic:cNvPicPr>
                </pic:nvPicPr>
                <pic:blipFill>
                  <a:blip r:embed="rId1">
                    <a:lum bright="69998" contrast="-70001"/>
                  </a:blip>
                  <a:stretch>
                    <a:fillRect/>
                  </a:stretch>
                </pic:blipFill>
                <pic:spPr>
                  <a:xfrm>
                    <a:off x="0" y="0"/>
                    <a:ext cx="5274310" cy="528891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149C28AC"/>
    <w:multiLevelType w:val="singleLevel"/>
    <w:tmpl w:val="149C28AC"/>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docVars>
    <w:docVar w:name="commondata" w:val="eyJoZGlkIjoiMjJkYmYyOGQwNjU2YTFjYjBlYWQzZDdlZjc2Nzk1ZWYifQ=="/>
  </w:docVars>
  <w:rsids>
    <w:rsidRoot w:val="4E135EB0"/>
    <w:rsid w:val="00057053"/>
    <w:rsid w:val="002402FC"/>
    <w:rsid w:val="0024668B"/>
    <w:rsid w:val="00382906"/>
    <w:rsid w:val="004211E5"/>
    <w:rsid w:val="00692442"/>
    <w:rsid w:val="006D0F2D"/>
    <w:rsid w:val="009130D9"/>
    <w:rsid w:val="00A31117"/>
    <w:rsid w:val="01DE1B28"/>
    <w:rsid w:val="05703A7B"/>
    <w:rsid w:val="17D16E72"/>
    <w:rsid w:val="22331CF0"/>
    <w:rsid w:val="22825181"/>
    <w:rsid w:val="34644B6D"/>
    <w:rsid w:val="35D164CA"/>
    <w:rsid w:val="36900530"/>
    <w:rsid w:val="398605DB"/>
    <w:rsid w:val="3C40637B"/>
    <w:rsid w:val="433308D4"/>
    <w:rsid w:val="460F748A"/>
    <w:rsid w:val="464C18C2"/>
    <w:rsid w:val="4BE92426"/>
    <w:rsid w:val="4E135EB0"/>
    <w:rsid w:val="4F2C55E3"/>
    <w:rsid w:val="534402B1"/>
    <w:rsid w:val="5743039E"/>
    <w:rsid w:val="64847208"/>
    <w:rsid w:val="655464F7"/>
    <w:rsid w:val="78182998"/>
    <w:rsid w:val="7DD40B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1"/>
    <w:pPr>
      <w:spacing w:before="5"/>
    </w:pPr>
    <w:rPr>
      <w:rFonts w:ascii="宋体" w:hAnsi="宋体" w:eastAsia="宋体" w:cs="宋体"/>
      <w:sz w:val="24"/>
      <w:lang w:val="zh-CN" w:bidi="zh-CN"/>
    </w:rPr>
  </w:style>
  <w:style w:type="paragraph" w:styleId="3">
    <w:name w:val="Balloon Text"/>
    <w:basedOn w:val="1"/>
    <w:link w:val="11"/>
    <w:qFormat/>
    <w:uiPriority w:val="0"/>
    <w:rPr>
      <w:sz w:val="18"/>
      <w:szCs w:val="18"/>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 w:type="paragraph" w:styleId="6">
    <w:name w:val="Normal (Web)"/>
    <w:basedOn w:val="1"/>
    <w:qFormat/>
    <w:uiPriority w:val="0"/>
    <w:pPr>
      <w:spacing w:beforeAutospacing="1" w:afterAutospacing="1"/>
      <w:jc w:val="left"/>
    </w:pPr>
    <w:rPr>
      <w:rFonts w:cs="Times New Roman"/>
      <w:kern w:val="0"/>
      <w:sz w:val="24"/>
    </w:rPr>
  </w:style>
  <w:style w:type="character" w:styleId="9">
    <w:name w:val="Hyperlink"/>
    <w:basedOn w:val="8"/>
    <w:qFormat/>
    <w:uiPriority w:val="0"/>
    <w:rPr>
      <w:color w:val="0000FF"/>
      <w:u w:val="single"/>
    </w:rPr>
  </w:style>
  <w:style w:type="paragraph" w:styleId="10">
    <w:name w:val="List Paragraph"/>
    <w:basedOn w:val="1"/>
    <w:qFormat/>
    <w:uiPriority w:val="1"/>
    <w:pPr>
      <w:ind w:left="120" w:right="497" w:firstLine="480"/>
    </w:pPr>
    <w:rPr>
      <w:rFonts w:ascii="宋体" w:hAnsi="宋体" w:eastAsia="宋体" w:cs="宋体"/>
      <w:lang w:val="zh-CN" w:bidi="zh-CN"/>
    </w:rPr>
  </w:style>
  <w:style w:type="character" w:customStyle="1" w:styleId="11">
    <w:name w:val="批注框文本 Char"/>
    <w:basedOn w:val="8"/>
    <w:link w:val="3"/>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image" Target="media/image2.jpeg"/><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5</Pages>
  <Words>2400</Words>
  <Characters>2491</Characters>
  <Lines>130</Lines>
  <Paragraphs>36</Paragraphs>
  <TotalTime>6</TotalTime>
  <ScaleCrop>false</ScaleCrop>
  <LinksUpToDate>false</LinksUpToDate>
  <CharactersWithSpaces>15412</CharactersWithSpaces>
  <Application>WPS Office_12.1.0.19302_F1E327BC-269C-435d-A152-05C5408002CA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2021-05-25T02:42:00Z</dcterms:created>
  <dc:creator>读研MBA-言言</dc:creator>
  <cp:lastModifiedBy>Administrator</cp:lastModifiedBy>
  <dcterms:modified xsi:type="dcterms:W3CDTF">2026-01-14T09:30:32Z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2052-12.1.0.19302</vt:lpwstr>
  </property>
  <property fmtid="{D5CDD505-2E9C-101B-9397-08002B2CF9AE}" pid="3" name="ICV">
    <vt:lpwstr>A20EA64ECDC94D8D863A049BD1BDC758</vt:lpwstr>
  </property>
  <property fmtid="{D5CDD505-2E9C-101B-9397-08002B2CF9AE}" pid="4" name="commondata">
    <vt:lpwstr>eyJoZGlkIjoiMjJkYmYyOGQwNjU2YTFjYjBlYWQzZDdlZjc2Nzk1ZWYifQ==</vt:lpwstr>
  </property>
  <property fmtid="{D5CDD505-2E9C-101B-9397-08002B2CF9AE}" pid="5" name="KSOTemplateDocerSaveRecord">
    <vt:lpwstr>eyJoZGlkIjoiMjJkYmYyOGQwNjU2YTFjYjBlYWQzZDdlZjc2Nzk1ZWYifQ==</vt:lpwstr>
  </property>
</Properties>
</file>