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60CF1"/>
    <w:p w14:paraId="2C6E75C5">
      <w:r>
        <w:rPr>
          <w:rFonts w:hint="eastAsia"/>
        </w:rPr>
        <w:drawing>
          <wp:inline distT="0" distB="0" distL="114300" distR="114300">
            <wp:extent cx="5000625" cy="1257300"/>
            <wp:effectExtent l="0" t="0" r="9525" b="0"/>
            <wp:docPr id="2" name="图片 2" descr="QQ截图2021091015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10910150855"/>
                    <pic:cNvPicPr>
                      <a:picLocks noChangeAspect="1"/>
                    </pic:cNvPicPr>
                  </pic:nvPicPr>
                  <pic:blipFill>
                    <a:blip r:embed="rId5" cstate="print"/>
                    <a:stretch>
                      <a:fillRect/>
                    </a:stretch>
                  </pic:blipFill>
                  <pic:spPr>
                    <a:xfrm>
                      <a:off x="0" y="0"/>
                      <a:ext cx="5000625" cy="1257300"/>
                    </a:xfrm>
                    <a:prstGeom prst="rect">
                      <a:avLst/>
                    </a:prstGeom>
                  </pic:spPr>
                </pic:pic>
              </a:graphicData>
            </a:graphic>
          </wp:inline>
        </w:drawing>
      </w:r>
    </w:p>
    <w:p w14:paraId="04D89C86"/>
    <w:p w14:paraId="60618B72">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江西师范大学同等学力人员申请硕士学位心理学专业</w:t>
      </w:r>
    </w:p>
    <w:p w14:paraId="170EDD58">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招生简章</w:t>
      </w:r>
    </w:p>
    <w:p w14:paraId="35ED4DA0">
      <w:pPr>
        <w:rPr>
          <w:rFonts w:asciiTheme="minorEastAsia" w:hAnsiTheme="minorEastAsia" w:cstheme="minorEastAsia"/>
          <w:b/>
          <w:bCs/>
          <w:sz w:val="32"/>
          <w:szCs w:val="32"/>
        </w:rPr>
      </w:pPr>
    </w:p>
    <w:p w14:paraId="2BEBFFA7">
      <w:pPr>
        <w:numPr>
          <w:ilvl w:val="0"/>
          <w:numId w:val="1"/>
        </w:numPr>
        <w:rPr>
          <w:rFonts w:asciiTheme="minorEastAsia" w:hAnsiTheme="minorEastAsia" w:cstheme="minorEastAsia"/>
          <w:sz w:val="24"/>
        </w:rPr>
      </w:pPr>
      <w:r>
        <w:rPr>
          <w:rFonts w:hint="eastAsia" w:asciiTheme="minorEastAsia" w:hAnsiTheme="minorEastAsia" w:cstheme="minorEastAsia"/>
          <w:b/>
          <w:bCs/>
          <w:sz w:val="24"/>
        </w:rPr>
        <w:t>院校及专业简介：</w:t>
      </w:r>
    </w:p>
    <w:p w14:paraId="54D62C94">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w:t>
      </w:r>
      <w:r>
        <w:rPr>
          <w:rFonts w:asciiTheme="minorEastAsia" w:hAnsiTheme="minorEastAsia" w:cstheme="minorEastAsia"/>
          <w:sz w:val="24"/>
        </w:rPr>
        <w:t>（Jiangxi Normal University）简称“</w:t>
      </w:r>
      <w:r>
        <w:fldChar w:fldCharType="begin"/>
      </w:r>
      <w:r>
        <w:instrText xml:space="preserve"> HYPERLINK "https://baike.baidu.com/item/%E6%B1%9F%E8%A5%BF%E5%B8%88%E5%A4%A7/2322638" \t "https://baike.baidu.com/item/%E6%B1%9F%E8%A5%BF%E5%B8%88%E8%8C%83%E5%A4%A7%E5%AD%A6/_blank" </w:instrText>
      </w:r>
      <w:r>
        <w:fldChar w:fldCharType="separate"/>
      </w:r>
      <w:r>
        <w:rPr>
          <w:rFonts w:asciiTheme="minorEastAsia" w:hAnsiTheme="minorEastAsia" w:cstheme="minorEastAsia"/>
          <w:sz w:val="24"/>
        </w:rPr>
        <w:t>江西师大</w:t>
      </w:r>
      <w:r>
        <w:rPr>
          <w:rFonts w:asciiTheme="minorEastAsia" w:hAnsiTheme="minorEastAsia" w:cstheme="minorEastAsia"/>
          <w:sz w:val="24"/>
        </w:rPr>
        <w:fldChar w:fldCharType="end"/>
      </w:r>
      <w:r>
        <w:rPr>
          <w:rFonts w:asciiTheme="minorEastAsia" w:hAnsiTheme="minorEastAsia" w:cstheme="minorEastAsia"/>
          <w:sz w:val="24"/>
        </w:rPr>
        <w:t>”，位于历史文化名城江西省会</w:t>
      </w:r>
      <w:r>
        <w:fldChar w:fldCharType="begin"/>
      </w:r>
      <w:r>
        <w:instrText xml:space="preserve"> HYPERLINK "https://baike.baidu.com/item/%E5%8D%97%E6%98%8C%E5%B8%82/2206044" \t "https://baike.baidu.com/item/%E6%B1%9F%E8%A5%BF%E5%B8%88%E8%8C%83%E5%A4%A7%E5%AD%A6/_blank" </w:instrText>
      </w:r>
      <w:r>
        <w:fldChar w:fldCharType="separate"/>
      </w:r>
      <w:r>
        <w:rPr>
          <w:rFonts w:asciiTheme="minorEastAsia" w:hAnsiTheme="minorEastAsia" w:cstheme="minorEastAsia"/>
          <w:sz w:val="24"/>
        </w:rPr>
        <w:t>南昌市</w:t>
      </w:r>
      <w:r>
        <w:rPr>
          <w:rFonts w:asciiTheme="minorEastAsia" w:hAnsiTheme="minorEastAsia" w:cstheme="minorEastAsia"/>
          <w:sz w:val="24"/>
        </w:rPr>
        <w:fldChar w:fldCharType="end"/>
      </w:r>
      <w:r>
        <w:rPr>
          <w:rFonts w:asciiTheme="minorEastAsia" w:hAnsiTheme="minorEastAsia" w:cstheme="minorEastAsia"/>
          <w:sz w:val="24"/>
        </w:rPr>
        <w:t>，是</w:t>
      </w:r>
      <w:r>
        <w:fldChar w:fldCharType="begin"/>
      </w:r>
      <w:r>
        <w:instrText xml:space="preserve"> HYPERLINK "https://baike.baidu.com/item/%E6%95%99%E8%82%B2%E9%83%A8/239078" \t "https://baike.baidu.com/item/%E6%B1%9F%E8%A5%BF%E5%B8%88%E8%8C%83%E5%A4%A7%E5%AD%A6/_blank" </w:instrText>
      </w:r>
      <w:r>
        <w:fldChar w:fldCharType="separate"/>
      </w:r>
      <w:r>
        <w:rPr>
          <w:rFonts w:asciiTheme="minorEastAsia" w:hAnsiTheme="minorEastAsia" w:cstheme="minorEastAsia"/>
          <w:sz w:val="24"/>
        </w:rPr>
        <w:t>教育部</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"https://baike.baidu.com/item/%E6%B1%9F%E8%A5%BF%E7%9C%81%E4%BA%BA%E6%B0%91%E6%94%BF%E5%BA%9C/6392792" \t "https://baike.baidu.com/item/%E6%B1%9F%E8%A5%BF%E5%B8%88%E8%8C%83%E5%A4%A7%E5%AD%A6/_blank" </w:instrText>
      </w:r>
      <w:r>
        <w:fldChar w:fldCharType="separate"/>
      </w:r>
      <w:r>
        <w:rPr>
          <w:rFonts w:asciiTheme="minorEastAsia" w:hAnsiTheme="minorEastAsia" w:cstheme="minorEastAsia"/>
          <w:sz w:val="24"/>
        </w:rPr>
        <w:t>江西省人民政府</w:t>
      </w:r>
      <w:r>
        <w:rPr>
          <w:rFonts w:asciiTheme="minorEastAsia" w:hAnsiTheme="minorEastAsia" w:cstheme="minorEastAsia"/>
          <w:sz w:val="24"/>
        </w:rPr>
        <w:fldChar w:fldCharType="end"/>
      </w:r>
      <w:r>
        <w:rPr>
          <w:rFonts w:asciiTheme="minorEastAsia" w:hAnsiTheme="minorEastAsia" w:cstheme="minorEastAsia"/>
          <w:sz w:val="24"/>
        </w:rPr>
        <w:t>共建高校，入选</w:t>
      </w:r>
      <w:r>
        <w:fldChar w:fldCharType="begin"/>
      </w:r>
      <w:r>
        <w:instrText xml:space="preserve"> HYPERLINK "https://baike.baidu.com/item/%E4%B8%AD%E8%A5%BF%E9%83%A8%E9%AB%98%E6%A0%A1%E5%9F%BA%E7%A1%80%E8%83%BD%E5%8A%9B%E5%BB%BA%E8%AE%BE%E5%B7%A5%E7%A8%8B/6590386" \t "https://baike.baidu.com/item/%E6%B1%9F%E8%A5%BF%E5%B8%88%E8%8C%83%E5%A4%A7%E5%AD%A6/_blank" </w:instrText>
      </w:r>
      <w:r>
        <w:fldChar w:fldCharType="separate"/>
      </w:r>
      <w:r>
        <w:rPr>
          <w:rFonts w:asciiTheme="minorEastAsia" w:hAnsiTheme="minorEastAsia" w:cstheme="minorEastAsia"/>
          <w:sz w:val="24"/>
        </w:rPr>
        <w:t>中西部高校基础能力建设工程</w:t>
      </w:r>
      <w:r>
        <w:rPr>
          <w:rFonts w:asciiTheme="minorEastAsia" w:hAnsiTheme="minorEastAsia" w:cstheme="minorEastAsia"/>
          <w:sz w:val="24"/>
        </w:rPr>
        <w:fldChar w:fldCharType="end"/>
      </w:r>
      <w:r>
        <w:rPr>
          <w:rFonts w:asciiTheme="minorEastAsia" w:hAnsiTheme="minorEastAsia" w:cstheme="minorEastAsia"/>
          <w:sz w:val="24"/>
        </w:rPr>
        <w:t>、教育部</w:t>
      </w:r>
      <w:r>
        <w:fldChar w:fldCharType="begin"/>
      </w:r>
      <w:r>
        <w:instrText xml:space="preserve"> HYPERLINK "https://baike.baidu.com/item/%E5%8D%93%E8%B6%8A%E6%95%99%E5%B8%88%E5%9F%B9%E5%85%BB%E8%AE%A1%E5%88%92/15877912" \t "https://baike.baidu.com/item/%E6%B1%9F%E8%A5%BF%E5%B8%88%E8%8C%83%E5%A4%A7%E5%AD%A6/_blank" </w:instrText>
      </w:r>
      <w:r>
        <w:fldChar w:fldCharType="separate"/>
      </w:r>
      <w:r>
        <w:rPr>
          <w:rFonts w:asciiTheme="minorEastAsia" w:hAnsiTheme="minorEastAsia" w:cstheme="minorEastAsia"/>
          <w:sz w:val="24"/>
        </w:rPr>
        <w:t>卓越教师培养计划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"https://baike.baidu.com/item/%E5%9B%BD%E5%9F%B9%E8%AE%A1%E5%88%92/9532594" \t "https://baike.baidu.com/item/%E6%B1%9F%E8%A5%BF%E5%B8%88%E8%8C%83%E5%A4%A7%E5%AD%A6/_blank" </w:instrText>
      </w:r>
      <w:r>
        <w:fldChar w:fldCharType="separate"/>
      </w:r>
      <w:r>
        <w:rPr>
          <w:rFonts w:asciiTheme="minorEastAsia" w:hAnsiTheme="minorEastAsia" w:cstheme="minorEastAsia"/>
          <w:sz w:val="24"/>
        </w:rPr>
        <w:t>国培计划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"https://baike.baidu.com/item/%E5%9B%BD%E5%AE%B6%E7%BA%A7%E5%A4%A7%E5%AD%A6%E7%94%9F%E5%88%9B%E6%96%B0%E5%88%9B%E4%B8%9A%E8%AE%AD%E7%BB%83%E8%AE%A1%E5%88%92/8962344" \t "https://baike.baidu.com/item/%E6%B1%9F%E8%A5%BF%E5%B8%88%E8%8C%83%E5%A4%A7%E5%AD%A6/_blank" </w:instrText>
      </w:r>
      <w:r>
        <w:fldChar w:fldCharType="separate"/>
      </w:r>
      <w:r>
        <w:rPr>
          <w:rFonts w:asciiTheme="minorEastAsia" w:hAnsiTheme="minorEastAsia" w:cstheme="minorEastAsia"/>
          <w:sz w:val="24"/>
        </w:rPr>
        <w:t>国家级大学生创新创业训练计划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"https://baike.baidu.com/item/%E5%9B%BD%E5%AE%B6%E5%A4%A7%E5%AD%A6%E7%94%9F%E6%96%87%E5%8C%96%E7%B4%A0%E8%B4%A8%E6%95%99%E8%82%B2%E5%9F%BA%E5%9C%B0/2680904" \t "https://baike.baidu.com/item/%E6%B1%9F%E8%A5%BF%E5%B8%88%E8%8C%83%E5%A4%A7%E5%AD%A6/_blank" </w:instrText>
      </w:r>
      <w:r>
        <w:fldChar w:fldCharType="separate"/>
      </w:r>
      <w:r>
        <w:rPr>
          <w:rFonts w:asciiTheme="minorEastAsia" w:hAnsiTheme="minorEastAsia" w:cstheme="minorEastAsia"/>
          <w:sz w:val="24"/>
        </w:rPr>
        <w:t>国家大学生文化素质教育基地</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"https://baike.baidu.com/item/%E5%85%A8%E5%9B%BD%E9%AB%98%E6%A0%A1%E5%AE%9E%E8%B7%B5%E8%82%B2%E4%BA%BA%E5%88%9B%E6%96%B0%E5%88%9B%E4%B8%9A%E5%9F%BA%E5%9C%B0/23353076" \t "https://baike.baidu.com/item/%E6%B1%9F%E8%A5%BF%E5%B8%88%E8%8C%83%E5%A4%A7%E5%AD%A6/_blank" </w:instrText>
      </w:r>
      <w:r>
        <w:fldChar w:fldCharType="separate"/>
      </w:r>
      <w:r>
        <w:rPr>
          <w:rFonts w:asciiTheme="minorEastAsia" w:hAnsiTheme="minorEastAsia" w:cstheme="minorEastAsia"/>
          <w:sz w:val="24"/>
        </w:rPr>
        <w:t>全国高校实践育人创新创业基地</w:t>
      </w:r>
      <w:r>
        <w:rPr>
          <w:rFonts w:asciiTheme="minorEastAsia" w:hAnsiTheme="minorEastAsia" w:cstheme="minorEastAsia"/>
          <w:sz w:val="24"/>
        </w:rPr>
        <w:fldChar w:fldCharType="end"/>
      </w:r>
      <w:r>
        <w:rPr>
          <w:rFonts w:asciiTheme="minorEastAsia" w:hAnsiTheme="minorEastAsia" w:cstheme="minorEastAsia"/>
          <w:sz w:val="24"/>
        </w:rPr>
        <w:t>、江西省2011计划、江西省首批大众创业万众创新示范基地、江西省一流学科建设高校、</w:t>
      </w:r>
      <w:r>
        <w:fldChar w:fldCharType="begin"/>
      </w:r>
      <w:r>
        <w:instrText xml:space="preserve"> HYPERLINK "https://baike.baidu.com/item/%E4%B8%AD%E5%9B%BD%E6%94%BF%E5%BA%9C%E5%A5%96%E5%AD%A6%E9%87%91%E6%9D%A5%E5%8D%8E%E7%95%99%E5%AD%A6%E7%94%9F%E6%8E%A5%E6%94%B6%E9%99%A2%E6%A0%A1/15447730" \t "https://baike.baidu.com/item/%E6%B1%9F%E8%A5%BF%E5%B8%88%E8%8C%83%E5%A4%A7%E5%AD%A6/_blank" </w:instrText>
      </w:r>
      <w:r>
        <w:fldChar w:fldCharType="separate"/>
      </w:r>
      <w:r>
        <w:rPr>
          <w:rFonts w:asciiTheme="minorEastAsia" w:hAnsiTheme="minorEastAsia" w:cstheme="minorEastAsia"/>
          <w:sz w:val="24"/>
        </w:rPr>
        <w:t>中国政府奖学金来华留学生接收院校</w:t>
      </w:r>
      <w:r>
        <w:rPr>
          <w:rFonts w:asciiTheme="minorEastAsia" w:hAnsiTheme="minorEastAsia" w:cstheme="minorEastAsia"/>
          <w:sz w:val="24"/>
        </w:rPr>
        <w:fldChar w:fldCharType="end"/>
      </w:r>
      <w:r>
        <w:rPr>
          <w:rFonts w:asciiTheme="minorEastAsia" w:hAnsiTheme="minorEastAsia" w:cstheme="minorEastAsia"/>
          <w:sz w:val="24"/>
        </w:rPr>
        <w:t>、全国第一批本科院校教育信息化试点单位、全国首批</w:t>
      </w:r>
      <w:r>
        <w:fldChar w:fldCharType="begin"/>
      </w:r>
      <w:r>
        <w:instrText xml:space="preserve"> HYPERLINK "https://baike.baidu.com/item/%E6%B7%B1%E5%8C%96%E5%88%9B%E6%96%B0%E5%88%9B%E4%B8%9A%E6%95%99%E8%82%B2%E6%94%B9%E9%9D%A9%E7%A4%BA%E8%8C%83%E9%AB%98%E6%A0%A1/21510324" \t "https://baike.baidu.com/item/%E6%B1%9F%E8%A5%BF%E5%B8%88%E8%8C%83%E5%A4%A7%E5%AD%A6/_blank" </w:instrText>
      </w:r>
      <w:r>
        <w:fldChar w:fldCharType="separate"/>
      </w:r>
      <w:r>
        <w:rPr>
          <w:rFonts w:asciiTheme="minorEastAsia" w:hAnsiTheme="minorEastAsia" w:cstheme="minorEastAsia"/>
          <w:sz w:val="24"/>
        </w:rPr>
        <w:t>深化创新创业教育改革示范高校</w:t>
      </w:r>
      <w:r>
        <w:rPr>
          <w:rFonts w:asciiTheme="minorEastAsia" w:hAnsiTheme="minorEastAsia" w:cstheme="minorEastAsia"/>
          <w:sz w:val="24"/>
        </w:rPr>
        <w:fldChar w:fldCharType="end"/>
      </w:r>
      <w:r>
        <w:rPr>
          <w:rFonts w:asciiTheme="minorEastAsia" w:hAnsiTheme="minorEastAsia" w:cstheme="minorEastAsia"/>
          <w:sz w:val="24"/>
        </w:rPr>
        <w:t>。学校融哲学、经济学、法学、教育学、文学、历史学、理学、工学、管理学、艺术学等十大学科门类于一体，位于具有深厚历史文化底蕴，素有</w:t>
      </w:r>
      <w:r>
        <w:rPr>
          <w:rFonts w:hint="eastAsia" w:asciiTheme="minorEastAsia" w:hAnsiTheme="minorEastAsia" w:cstheme="minorEastAsia"/>
          <w:sz w:val="24"/>
        </w:rPr>
        <w:t>“物华天宝、人杰地灵”美誉的江西省省会南昌，对江西的政治、经济、文化和社会发展有较大影响，被江西省人民政府确定为优先发展的省属重点（师范）大学。</w:t>
      </w:r>
    </w:p>
    <w:p w14:paraId="7CED5AE4">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心理学院于2007年4月开始筹建，并于2008年9月正式成立。学院现有心理学一级学科博士点，心理学博士后科研流动站，是学校最早具有本科生、硕士生、博士生和博士后四级办学力量的教学科研单位。学院的办学历史始于1941年国立中正大学的社会教育系。历经70多年的跌宕起伏和艰苦探求，一代又一代心理学工作者秉持“静思笃行、持中秉正”之校训，坚守“质量立院、人才兴院、创新强院、文化铸院、和谐荣院”之理念，薪火相传、励精图治、敢为人先、与时俱进，心理学科不断发展前行。尤其是近10多年来，学院建设和发展取得了长足的进步和瞩目的成绩。</w:t>
      </w:r>
    </w:p>
    <w:p w14:paraId="1C045F00">
      <w:pPr>
        <w:rPr>
          <w:rFonts w:asciiTheme="minorEastAsia" w:hAnsiTheme="minorEastAsia" w:cstheme="minorEastAsia"/>
          <w:sz w:val="24"/>
        </w:rPr>
      </w:pPr>
    </w:p>
    <w:p w14:paraId="2CEAEDB3">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培养目标：</w:t>
      </w:r>
    </w:p>
    <w:p w14:paraId="6B433804">
      <w:pPr>
        <w:spacing w:line="360" w:lineRule="auto"/>
        <w:ind w:firstLine="600" w:firstLineChars="250"/>
        <w:rPr>
          <w:rFonts w:asciiTheme="minorEastAsia" w:hAnsiTheme="minorEastAsia" w:cstheme="minorEastAsia"/>
          <w:b/>
          <w:bCs/>
          <w:sz w:val="24"/>
        </w:rPr>
      </w:pPr>
      <w:r>
        <w:rPr>
          <w:rFonts w:hint="eastAsia" w:asciiTheme="minorEastAsia" w:hAnsiTheme="minorEastAsia" w:cstheme="minorEastAsia"/>
          <w:sz w:val="24"/>
        </w:rPr>
        <w:t xml:space="preserve">本专业主要是通过学习和掌握握心理学专业坚实的基础理论和系统的专业知识，培养具有从事心理学科学研究或独立担负专门技术工作和其他业务工作的能力，比较熟练地运用一种外国语阅读心理学专业的外文资料，并能写作论文摘要，适应面向现代化、面向世界、面向未来的德、智、体全面发展的心理学高层次专门人才。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p>
    <w:p w14:paraId="52FC5F41">
      <w:pPr>
        <w:rPr>
          <w:rFonts w:asciiTheme="minorEastAsia" w:hAnsiTheme="minorEastAsia" w:cstheme="minorEastAsia"/>
          <w:b/>
          <w:bCs/>
          <w:sz w:val="24"/>
        </w:rPr>
      </w:pPr>
    </w:p>
    <w:p w14:paraId="350C6021">
      <w:pPr>
        <w:rPr>
          <w:rFonts w:asciiTheme="minorEastAsia" w:hAnsiTheme="minorEastAsia" w:cstheme="minorEastAsia"/>
          <w:b/>
          <w:bCs/>
          <w:sz w:val="24"/>
        </w:rPr>
      </w:pPr>
    </w:p>
    <w:p w14:paraId="623C95AD">
      <w:pPr>
        <w:numPr>
          <w:ilvl w:val="0"/>
          <w:numId w:val="1"/>
        </w:numPr>
        <w:rPr>
          <w:rFonts w:asciiTheme="minorEastAsia" w:hAnsiTheme="minorEastAsia" w:cstheme="minorEastAsia"/>
          <w:sz w:val="24"/>
        </w:rPr>
      </w:pPr>
      <w:r>
        <w:rPr>
          <w:rFonts w:hint="eastAsia" w:asciiTheme="minorEastAsia" w:hAnsiTheme="minorEastAsia" w:cstheme="minorEastAsia"/>
          <w:b/>
          <w:bCs/>
          <w:sz w:val="24"/>
        </w:rPr>
        <w:t>培养优势:</w:t>
      </w:r>
    </w:p>
    <w:p w14:paraId="0451AFD8">
      <w:pPr>
        <w:rPr>
          <w:rFonts w:asciiTheme="minorEastAsia" w:hAnsiTheme="minorEastAsia" w:cstheme="minorEastAsia"/>
          <w:b/>
          <w:bCs/>
          <w:sz w:val="24"/>
        </w:rPr>
      </w:pPr>
    </w:p>
    <w:p w14:paraId="72769F55">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1、免试入学：本科以上获得学士学位，毕业三年以上在职人员即可报名参加，先学习再考试，有足够充分的准备和学习课程的时间；</w:t>
      </w:r>
    </w:p>
    <w:p w14:paraId="7AC5DC8B">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专业优势：学院现有心理学一级学科博士点，心理学博士后科研流动站，是学校最早具有本科生、硕士生、博士生和博士后四级办学力量的教学科研单位。组建了脑与认知、心理统计与测量、心理健康与临床心理、心理发展与教育、社会与经济心理五个学术科研团队；</w:t>
      </w:r>
    </w:p>
    <w:p w14:paraId="070B68AF">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师资优势：学院师资力量雄厚，具有博士学位教师占专任教师比例为90%，立足高起点，瞄准世界心理学研究前沿，走内涵建设、科学发展的创新之路，积淀了厚实的学术底蕴。心理测量学方向已进入全国领先行列，思维心理学研究在国内具有重要影响；</w:t>
      </w:r>
    </w:p>
    <w:p w14:paraId="2741FBA5">
      <w:pPr>
        <w:spacing w:line="360" w:lineRule="auto"/>
        <w:ind w:firstLine="720" w:firstLineChars="300"/>
        <w:rPr>
          <w:rFonts w:asciiTheme="minorEastAsia" w:hAnsiTheme="minorEastAsia" w:cstheme="minorEastAsia"/>
          <w:sz w:val="24"/>
        </w:rPr>
      </w:pPr>
      <w:r>
        <w:rPr>
          <w:rFonts w:hint="eastAsia" w:asciiTheme="minorEastAsia" w:hAnsiTheme="minorEastAsia" w:cstheme="minorEastAsia"/>
          <w:sz w:val="24"/>
        </w:rPr>
        <w:t>4、人脉优势：学院十分重视国际交流与合作。参与美国伊利诺伊大学香槟分校开展了联合培养教育心理学专业教育测量学方向硕士研究生项目等合作；</w:t>
      </w:r>
    </w:p>
    <w:p w14:paraId="4DF981C2">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5、学习优势：学院面向全国招生，开设远程网络课程培训，方便全国各地学员随时随地便捷学习，上课时间灵活多变，不影响在职社会人员的工作和生活节奏。</w:t>
      </w:r>
    </w:p>
    <w:p w14:paraId="58BF56BF">
      <w:pPr>
        <w:rPr>
          <w:rFonts w:asciiTheme="minorEastAsia" w:hAnsiTheme="minorEastAsia" w:cstheme="minorEastAsia"/>
          <w:b/>
          <w:bCs/>
          <w:sz w:val="24"/>
        </w:rPr>
      </w:pPr>
    </w:p>
    <w:p w14:paraId="1E399ADA">
      <w:pPr>
        <w:spacing w:line="360" w:lineRule="auto"/>
        <w:ind w:left="525" w:leftChars="250"/>
        <w:rPr>
          <w:rFonts w:asciiTheme="minorEastAsia" w:hAnsiTheme="minorEastAsia" w:cstheme="minorEastAsia"/>
          <w:sz w:val="24"/>
        </w:rPr>
      </w:pPr>
      <w:r>
        <w:rPr>
          <w:rFonts w:hint="eastAsia" w:asciiTheme="minorEastAsia" w:hAnsiTheme="minorEastAsia" w:cstheme="minorEastAsia"/>
          <w:sz w:val="24"/>
        </w:rPr>
        <w:t xml:space="preserve">   </w:t>
      </w:r>
    </w:p>
    <w:p w14:paraId="22819FDF">
      <w:pPr>
        <w:spacing w:line="360" w:lineRule="auto"/>
        <w:ind w:left="525" w:leftChars="250"/>
        <w:rPr>
          <w:rFonts w:asciiTheme="minorEastAsia" w:hAnsiTheme="minorEastAsia" w:cstheme="minorEastAsia"/>
          <w:sz w:val="24"/>
        </w:rPr>
      </w:pPr>
    </w:p>
    <w:p w14:paraId="15567CC6">
      <w:pPr>
        <w:spacing w:line="360" w:lineRule="auto"/>
        <w:ind w:left="525" w:leftChars="250"/>
        <w:rPr>
          <w:rFonts w:asciiTheme="minorEastAsia" w:hAnsiTheme="minorEastAsia" w:cstheme="minorEastAsia"/>
          <w:sz w:val="24"/>
        </w:rPr>
      </w:pPr>
    </w:p>
    <w:p w14:paraId="372ABF95">
      <w:pPr>
        <w:spacing w:line="360" w:lineRule="auto"/>
        <w:ind w:left="525" w:leftChars="250"/>
        <w:rPr>
          <w:rFonts w:asciiTheme="minorEastAsia" w:hAnsiTheme="minorEastAsia" w:cstheme="minorEastAsia"/>
          <w:sz w:val="24"/>
        </w:rPr>
      </w:pPr>
    </w:p>
    <w:p w14:paraId="5353BFE3">
      <w:pPr>
        <w:rPr>
          <w:rFonts w:asciiTheme="minorEastAsia" w:hAnsiTheme="minorEastAsia" w:cstheme="minorEastAsia"/>
          <w:b/>
          <w:bCs/>
          <w:sz w:val="24"/>
        </w:rPr>
      </w:pPr>
    </w:p>
    <w:p w14:paraId="3375277E">
      <w:pPr>
        <w:numPr>
          <w:ilvl w:val="0"/>
          <w:numId w:val="1"/>
        </w:numPr>
        <w:rPr>
          <w:rFonts w:asciiTheme="minorEastAsia" w:hAnsiTheme="minorEastAsia" w:cstheme="minorEastAsia"/>
          <w:sz w:val="24"/>
        </w:rPr>
      </w:pPr>
      <w:r>
        <w:rPr>
          <w:rFonts w:hint="eastAsia" w:asciiTheme="minorEastAsia" w:hAnsiTheme="minorEastAsia" w:cstheme="minorEastAsia"/>
          <w:b/>
          <w:bCs/>
          <w:sz w:val="24"/>
        </w:rPr>
        <w:t>课程设置</w:t>
      </w:r>
    </w:p>
    <w:p w14:paraId="586EE5FF">
      <w:pPr>
        <w:rPr>
          <w:rFonts w:asciiTheme="minorEastAsia" w:hAnsiTheme="minorEastAsia" w:cstheme="minorEastAsia"/>
          <w:b/>
          <w:bCs/>
          <w:sz w:val="24"/>
        </w:rPr>
      </w:pPr>
    </w:p>
    <w:tbl>
      <w:tblPr>
        <w:tblStyle w:val="7"/>
        <w:tblpPr w:leftFromText="180" w:rightFromText="180" w:vertAnchor="text" w:horzAnchor="page" w:tblpX="1917" w:tblpY="292"/>
        <w:tblOverlap w:val="never"/>
        <w:tblW w:w="7898" w:type="dxa"/>
        <w:tblInd w:w="0" w:type="dxa"/>
        <w:tblLayout w:type="fixed"/>
        <w:tblCellMar>
          <w:top w:w="0" w:type="dxa"/>
          <w:left w:w="0" w:type="dxa"/>
          <w:bottom w:w="0" w:type="dxa"/>
          <w:right w:w="0" w:type="dxa"/>
        </w:tblCellMar>
      </w:tblPr>
      <w:tblGrid>
        <w:gridCol w:w="1810"/>
        <w:gridCol w:w="4981"/>
        <w:gridCol w:w="1107"/>
      </w:tblGrid>
      <w:tr w14:paraId="6D85701B">
        <w:tblPrEx>
          <w:tblCellMar>
            <w:top w:w="0" w:type="dxa"/>
            <w:left w:w="0" w:type="dxa"/>
            <w:bottom w:w="0" w:type="dxa"/>
            <w:right w:w="0" w:type="dxa"/>
          </w:tblCellMar>
        </w:tblPrEx>
        <w:trPr>
          <w:trHeight w:val="598" w:hRule="atLeast"/>
        </w:trPr>
        <w:tc>
          <w:tcPr>
            <w:tcW w:w="18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EBCC9">
            <w:pPr>
              <w:widowControl/>
              <w:jc w:val="center"/>
              <w:textAlignment w:val="center"/>
              <w:rPr>
                <w:rFonts w:asciiTheme="minorEastAsia" w:hAnsiTheme="minorEastAsia" w:cstheme="minorEastAsia"/>
                <w:b/>
                <w:color w:val="000000"/>
                <w:szCs w:val="21"/>
              </w:rPr>
            </w:pPr>
            <w:r>
              <w:rPr>
                <w:rFonts w:hint="eastAsia" w:asciiTheme="minorEastAsia" w:hAnsiTheme="minorEastAsia" w:cstheme="minorEastAsia"/>
                <w:b/>
                <w:color w:val="000000"/>
                <w:kern w:val="0"/>
                <w:szCs w:val="21"/>
              </w:rPr>
              <w:t>课程类别</w:t>
            </w:r>
          </w:p>
        </w:tc>
        <w:tc>
          <w:tcPr>
            <w:tcW w:w="4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33836">
            <w:pPr>
              <w:widowControl/>
              <w:jc w:val="center"/>
              <w:textAlignment w:val="center"/>
              <w:rPr>
                <w:rFonts w:asciiTheme="minorEastAsia" w:hAnsiTheme="minorEastAsia" w:cstheme="minorEastAsia"/>
                <w:b/>
                <w:color w:val="000000"/>
                <w:szCs w:val="21"/>
              </w:rPr>
            </w:pPr>
            <w:r>
              <w:rPr>
                <w:rFonts w:hint="eastAsia" w:asciiTheme="minorEastAsia" w:hAnsiTheme="minorEastAsia" w:cstheme="minorEastAsia"/>
                <w:b/>
                <w:color w:val="000000"/>
                <w:kern w:val="0"/>
                <w:szCs w:val="21"/>
              </w:rPr>
              <w:t>课程名称</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74B94">
            <w:pPr>
              <w:widowControl/>
              <w:jc w:val="center"/>
              <w:textAlignment w:val="center"/>
              <w:rPr>
                <w:rFonts w:asciiTheme="minorEastAsia" w:hAnsiTheme="minorEastAsia" w:cstheme="minorEastAsia"/>
                <w:b/>
                <w:color w:val="000000"/>
                <w:szCs w:val="21"/>
              </w:rPr>
            </w:pPr>
            <w:r>
              <w:rPr>
                <w:rFonts w:hint="eastAsia" w:asciiTheme="minorEastAsia" w:hAnsiTheme="minorEastAsia" w:cstheme="minorEastAsia"/>
                <w:b/>
                <w:color w:val="000000"/>
                <w:kern w:val="0"/>
                <w:szCs w:val="21"/>
              </w:rPr>
              <w:t>学分</w:t>
            </w:r>
          </w:p>
        </w:tc>
      </w:tr>
      <w:tr w14:paraId="2CF70257">
        <w:tblPrEx>
          <w:tblCellMar>
            <w:top w:w="0" w:type="dxa"/>
            <w:left w:w="0" w:type="dxa"/>
            <w:bottom w:w="0" w:type="dxa"/>
            <w:right w:w="0" w:type="dxa"/>
          </w:tblCellMar>
        </w:tblPrEx>
        <w:trPr>
          <w:trHeight w:val="598" w:hRule="atLeast"/>
        </w:trPr>
        <w:tc>
          <w:tcPr>
            <w:tcW w:w="1810"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43E0995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rPr>
              <w:t>公共必修课</w:t>
            </w:r>
          </w:p>
        </w:tc>
        <w:tc>
          <w:tcPr>
            <w:tcW w:w="4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8516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rPr>
              <w:t>中国特色社会主义理论与实践研究</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0390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rPr>
              <w:t>2</w:t>
            </w:r>
          </w:p>
        </w:tc>
      </w:tr>
      <w:tr w14:paraId="67BEF577">
        <w:tblPrEx>
          <w:tblCellMar>
            <w:top w:w="0" w:type="dxa"/>
            <w:left w:w="0" w:type="dxa"/>
            <w:bottom w:w="0" w:type="dxa"/>
            <w:right w:w="0" w:type="dxa"/>
          </w:tblCellMar>
        </w:tblPrEx>
        <w:trPr>
          <w:trHeight w:val="598" w:hRule="atLeast"/>
        </w:trPr>
        <w:tc>
          <w:tcPr>
            <w:tcW w:w="181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7340A892">
            <w:pPr>
              <w:jc w:val="center"/>
              <w:rPr>
                <w:rFonts w:asciiTheme="minorEastAsia" w:hAnsiTheme="minorEastAsia" w:cstheme="minorEastAsia"/>
                <w:color w:val="000000"/>
                <w:szCs w:val="21"/>
              </w:rPr>
            </w:pPr>
          </w:p>
        </w:tc>
        <w:tc>
          <w:tcPr>
            <w:tcW w:w="4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3F8C4">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rPr>
              <w:t>马克思主义与社会科学方法论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1B6F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rPr>
              <w:t>1</w:t>
            </w:r>
          </w:p>
        </w:tc>
      </w:tr>
      <w:tr w14:paraId="5A47BF7A">
        <w:tblPrEx>
          <w:tblCellMar>
            <w:top w:w="0" w:type="dxa"/>
            <w:left w:w="0" w:type="dxa"/>
            <w:bottom w:w="0" w:type="dxa"/>
            <w:right w:w="0" w:type="dxa"/>
          </w:tblCellMar>
        </w:tblPrEx>
        <w:trPr>
          <w:trHeight w:val="598" w:hRule="atLeast"/>
        </w:trPr>
        <w:tc>
          <w:tcPr>
            <w:tcW w:w="181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7A5B9E6E">
            <w:pPr>
              <w:jc w:val="center"/>
              <w:rPr>
                <w:rFonts w:asciiTheme="minorEastAsia" w:hAnsiTheme="minorEastAsia" w:cstheme="minorEastAsia"/>
                <w:color w:val="000000"/>
                <w:szCs w:val="21"/>
              </w:rPr>
            </w:pPr>
          </w:p>
        </w:tc>
        <w:tc>
          <w:tcPr>
            <w:tcW w:w="4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7DD61">
            <w:pPr>
              <w:widowControl/>
              <w:jc w:val="center"/>
              <w:textAlignment w:val="center"/>
              <w:rPr>
                <w:rFonts w:hint="default" w:eastAsia="宋体" w:asciiTheme="minorEastAsia" w:hAnsiTheme="minorEastAsia" w:cstheme="minorEastAsia"/>
                <w:color w:val="000000"/>
                <w:szCs w:val="21"/>
                <w:lang w:val="en-US" w:eastAsia="zh-CN"/>
              </w:rPr>
            </w:pPr>
            <w:r>
              <w:rPr>
                <w:rFonts w:hint="eastAsia" w:eastAsia="宋体" w:asciiTheme="minorEastAsia" w:hAnsiTheme="minorEastAsia" w:cstheme="minorEastAsia"/>
                <w:color w:val="000000"/>
                <w:szCs w:val="21"/>
                <w:lang w:val="en-US" w:eastAsia="zh-CN"/>
              </w:rPr>
              <w:t>公共英语</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E11CC">
            <w:pPr>
              <w:widowControl/>
              <w:jc w:val="center"/>
              <w:textAlignment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3</w:t>
            </w:r>
          </w:p>
        </w:tc>
      </w:tr>
      <w:tr w14:paraId="5CC1B200">
        <w:tblPrEx>
          <w:tblCellMar>
            <w:top w:w="0" w:type="dxa"/>
            <w:left w:w="0" w:type="dxa"/>
            <w:bottom w:w="0" w:type="dxa"/>
            <w:right w:w="0" w:type="dxa"/>
          </w:tblCellMar>
        </w:tblPrEx>
        <w:trPr>
          <w:trHeight w:val="598" w:hRule="atLeast"/>
        </w:trPr>
        <w:tc>
          <w:tcPr>
            <w:tcW w:w="1810"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238706FB">
            <w:pPr>
              <w:jc w:val="center"/>
              <w:rPr>
                <w:rFonts w:asciiTheme="minorEastAsia" w:hAnsiTheme="minorEastAsia" w:cstheme="minorEastAsia"/>
                <w:color w:val="000000"/>
                <w:szCs w:val="21"/>
              </w:rPr>
            </w:pPr>
          </w:p>
        </w:tc>
        <w:tc>
          <w:tcPr>
            <w:tcW w:w="4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556B9">
            <w:pPr>
              <w:widowControl/>
              <w:jc w:val="center"/>
              <w:textAlignment w:val="center"/>
              <w:rPr>
                <w:rFonts w:hint="default" w:asciiTheme="minorEastAsia" w:hAnsiTheme="minorEastAsia" w:eastAsia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专业英语</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A0E19">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rPr>
              <w:t>1</w:t>
            </w:r>
          </w:p>
        </w:tc>
      </w:tr>
      <w:tr w14:paraId="2A3EE502">
        <w:tblPrEx>
          <w:tblCellMar>
            <w:top w:w="0" w:type="dxa"/>
            <w:left w:w="0" w:type="dxa"/>
            <w:bottom w:w="0" w:type="dxa"/>
            <w:right w:w="0" w:type="dxa"/>
          </w:tblCellMar>
        </w:tblPrEx>
        <w:trPr>
          <w:trHeight w:val="598" w:hRule="atLeast"/>
        </w:trPr>
        <w:tc>
          <w:tcPr>
            <w:tcW w:w="1810" w:type="dxa"/>
            <w:vMerge w:val="continue"/>
            <w:tcBorders>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576C6A59">
            <w:pPr>
              <w:jc w:val="center"/>
              <w:rPr>
                <w:rFonts w:asciiTheme="minorEastAsia" w:hAnsiTheme="minorEastAsia" w:cstheme="minorEastAsia"/>
                <w:color w:val="000000"/>
                <w:szCs w:val="21"/>
              </w:rPr>
            </w:pPr>
          </w:p>
        </w:tc>
        <w:tc>
          <w:tcPr>
            <w:tcW w:w="4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C5276">
            <w:pPr>
              <w:widowControl/>
              <w:jc w:val="center"/>
              <w:textAlignment w:val="center"/>
              <w:rPr>
                <w:rFonts w:hint="default" w:asciiTheme="minorEastAsia" w:hAnsi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学术论文写作指导</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79BF3">
            <w:pPr>
              <w:widowControl/>
              <w:jc w:val="center"/>
              <w:textAlignment w:val="center"/>
              <w:rPr>
                <w:rFonts w:hint="eastAsia" w:asciiTheme="minorEastAsia" w:hAnsiTheme="minorEastAsia" w:eastAsiaTheme="minorEastAsia" w:cstheme="minorEastAsia"/>
                <w:color w:val="000000"/>
                <w:kern w:val="0"/>
                <w:szCs w:val="21"/>
                <w:lang w:val="en-US" w:eastAsia="zh-CN"/>
              </w:rPr>
            </w:pPr>
            <w:r>
              <w:rPr>
                <w:rFonts w:hint="eastAsia" w:asciiTheme="minorEastAsia" w:hAnsiTheme="minorEastAsia" w:cstheme="minorEastAsia"/>
                <w:color w:val="000000"/>
                <w:kern w:val="0"/>
                <w:szCs w:val="21"/>
                <w:lang w:val="en-US" w:eastAsia="zh-CN"/>
              </w:rPr>
              <w:t>1</w:t>
            </w:r>
          </w:p>
        </w:tc>
      </w:tr>
      <w:tr w14:paraId="15B52DB8">
        <w:tblPrEx>
          <w:tblCellMar>
            <w:top w:w="0" w:type="dxa"/>
            <w:left w:w="0" w:type="dxa"/>
            <w:bottom w:w="0" w:type="dxa"/>
            <w:right w:w="0" w:type="dxa"/>
          </w:tblCellMar>
        </w:tblPrEx>
        <w:trPr>
          <w:trHeight w:val="598" w:hRule="atLeast"/>
        </w:trPr>
        <w:tc>
          <w:tcPr>
            <w:tcW w:w="1810"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80B5B6">
            <w:pPr>
              <w:widowControl/>
              <w:jc w:val="center"/>
              <w:textAlignment w:val="center"/>
              <w:rPr>
                <w:rFonts w:hint="default" w:asciiTheme="minorEastAsia" w:hAnsiTheme="minorEastAsia" w:eastAsia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学科基础课</w:t>
            </w: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06A1E39A">
            <w:pPr>
              <w:widowControl/>
              <w:jc w:val="center"/>
              <w:textAlignment w:val="center"/>
              <w:rPr>
                <w:rFonts w:hint="default" w:asciiTheme="minorEastAsia" w:hAnsiTheme="minorEastAsia" w:eastAsia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现代心理学理论和体系</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BF646">
            <w:pPr>
              <w:widowControl/>
              <w:jc w:val="center"/>
              <w:textAlignment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3</w:t>
            </w:r>
          </w:p>
        </w:tc>
      </w:tr>
      <w:tr w14:paraId="4E69EF63">
        <w:tblPrEx>
          <w:tblCellMar>
            <w:top w:w="0" w:type="dxa"/>
            <w:left w:w="0" w:type="dxa"/>
            <w:bottom w:w="0" w:type="dxa"/>
            <w:right w:w="0" w:type="dxa"/>
          </w:tblCellMar>
        </w:tblPrEx>
        <w:trPr>
          <w:trHeight w:val="598" w:hRule="atLeast"/>
        </w:trPr>
        <w:tc>
          <w:tcPr>
            <w:tcW w:w="181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291130">
            <w:pPr>
              <w:widowControl/>
              <w:jc w:val="center"/>
              <w:textAlignment w:val="center"/>
              <w:rPr>
                <w:rFonts w:hint="eastAsia" w:asciiTheme="minorEastAsia" w:hAnsiTheme="minorEastAsia" w:cstheme="minorEastAsia"/>
                <w:color w:val="000000"/>
                <w:kern w:val="0"/>
                <w:szCs w:val="21"/>
              </w:rPr>
            </w:pP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44E84EC">
            <w:pPr>
              <w:widowControl/>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心理学研究方法</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8C1FC">
            <w:pPr>
              <w:widowControl/>
              <w:jc w:val="center"/>
              <w:textAlignment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3</w:t>
            </w:r>
          </w:p>
        </w:tc>
      </w:tr>
      <w:tr w14:paraId="234DF41E">
        <w:tblPrEx>
          <w:tblCellMar>
            <w:top w:w="0" w:type="dxa"/>
            <w:left w:w="0" w:type="dxa"/>
            <w:bottom w:w="0" w:type="dxa"/>
            <w:right w:w="0" w:type="dxa"/>
          </w:tblCellMar>
        </w:tblPrEx>
        <w:trPr>
          <w:trHeight w:val="608" w:hRule="atLeast"/>
        </w:trPr>
        <w:tc>
          <w:tcPr>
            <w:tcW w:w="181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5CE688">
            <w:pPr>
              <w:widowControl/>
              <w:jc w:val="center"/>
              <w:textAlignment w:val="center"/>
              <w:rPr>
                <w:rFonts w:hint="eastAsia" w:asciiTheme="minorEastAsia" w:hAnsiTheme="minorEastAsia" w:cstheme="minorEastAsia"/>
                <w:color w:val="000000"/>
                <w:kern w:val="0"/>
                <w:szCs w:val="21"/>
              </w:rPr>
            </w:pP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06B435F">
            <w:pPr>
              <w:widowControl/>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心理咨询理论与技术</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22DC1">
            <w:pPr>
              <w:widowControl/>
              <w:jc w:val="center"/>
              <w:textAlignment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3</w:t>
            </w:r>
          </w:p>
        </w:tc>
      </w:tr>
      <w:tr w14:paraId="49CA657D">
        <w:tblPrEx>
          <w:tblCellMar>
            <w:top w:w="0" w:type="dxa"/>
            <w:left w:w="0" w:type="dxa"/>
            <w:bottom w:w="0" w:type="dxa"/>
            <w:right w:w="0" w:type="dxa"/>
          </w:tblCellMar>
        </w:tblPrEx>
        <w:trPr>
          <w:trHeight w:val="608" w:hRule="atLeast"/>
        </w:trPr>
        <w:tc>
          <w:tcPr>
            <w:tcW w:w="181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A25D5B">
            <w:pPr>
              <w:widowControl/>
              <w:jc w:val="center"/>
              <w:textAlignment w:val="center"/>
              <w:rPr>
                <w:rFonts w:hint="eastAsia" w:asciiTheme="minorEastAsia" w:hAnsiTheme="minorEastAsia" w:cstheme="minorEastAsia"/>
                <w:color w:val="000000"/>
                <w:kern w:val="0"/>
                <w:szCs w:val="21"/>
              </w:rPr>
            </w:pP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912BA39">
            <w:pPr>
              <w:widowControl/>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教育心理学及其新进展</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E1E8C">
            <w:pPr>
              <w:widowControl/>
              <w:jc w:val="center"/>
              <w:textAlignment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3</w:t>
            </w:r>
          </w:p>
        </w:tc>
      </w:tr>
      <w:tr w14:paraId="5F0FC3AB">
        <w:tblPrEx>
          <w:tblCellMar>
            <w:top w:w="0" w:type="dxa"/>
            <w:left w:w="0" w:type="dxa"/>
            <w:bottom w:w="0" w:type="dxa"/>
            <w:right w:w="0" w:type="dxa"/>
          </w:tblCellMar>
        </w:tblPrEx>
        <w:trPr>
          <w:trHeight w:val="608" w:hRule="atLeast"/>
        </w:trPr>
        <w:tc>
          <w:tcPr>
            <w:tcW w:w="1810" w:type="dxa"/>
            <w:vMerge w:val="continue"/>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6DCC05">
            <w:pPr>
              <w:widowControl/>
              <w:jc w:val="center"/>
              <w:textAlignment w:val="center"/>
              <w:rPr>
                <w:rFonts w:hint="eastAsia" w:asciiTheme="minorEastAsia" w:hAnsiTheme="minorEastAsia" w:cstheme="minorEastAsia"/>
                <w:color w:val="000000"/>
                <w:kern w:val="0"/>
                <w:szCs w:val="21"/>
              </w:rPr>
            </w:pP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FC48E68">
            <w:pPr>
              <w:widowControl/>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发展心理学及其新进展</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F5F5F">
            <w:pPr>
              <w:widowControl/>
              <w:jc w:val="center"/>
              <w:textAlignment w:val="center"/>
              <w:rPr>
                <w:rFonts w:hint="eastAsia" w:asciiTheme="minorEastAsia" w:hAnsiTheme="minorEastAsia" w:eastAsia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3</w:t>
            </w:r>
          </w:p>
        </w:tc>
      </w:tr>
      <w:tr w14:paraId="51E28BDC">
        <w:tblPrEx>
          <w:tblCellMar>
            <w:top w:w="0" w:type="dxa"/>
            <w:left w:w="0" w:type="dxa"/>
            <w:bottom w:w="0" w:type="dxa"/>
            <w:right w:w="0" w:type="dxa"/>
          </w:tblCellMar>
        </w:tblPrEx>
        <w:trPr>
          <w:trHeight w:val="608" w:hRule="atLeast"/>
        </w:trPr>
        <w:tc>
          <w:tcPr>
            <w:tcW w:w="1810" w:type="dxa"/>
            <w:vMerge w:val="restart"/>
            <w:tcBorders>
              <w:top w:val="single" w:color="auto" w:sz="4" w:space="0"/>
              <w:left w:val="single" w:color="auto" w:sz="4" w:space="0"/>
              <w:right w:val="single" w:color="auto" w:sz="4" w:space="0"/>
            </w:tcBorders>
            <w:shd w:val="clear" w:color="auto" w:fill="auto"/>
            <w:noWrap/>
            <w:tcMar>
              <w:top w:w="15" w:type="dxa"/>
              <w:left w:w="15" w:type="dxa"/>
              <w:right w:w="15" w:type="dxa"/>
            </w:tcMar>
            <w:vAlign w:val="center"/>
          </w:tcPr>
          <w:p w14:paraId="7A4334E4">
            <w:pPr>
              <w:widowControl/>
              <w:jc w:val="center"/>
              <w:textAlignment w:val="center"/>
              <w:rPr>
                <w:rFonts w:hint="default" w:asciiTheme="minorEastAsia" w:hAnsiTheme="minorEastAsia" w:eastAsiaTheme="minorEastAsia" w:cstheme="minorEastAsia"/>
                <w:color w:val="000000"/>
                <w:kern w:val="0"/>
                <w:szCs w:val="21"/>
                <w:lang w:val="en-US" w:eastAsia="zh-CN"/>
              </w:rPr>
            </w:pPr>
            <w:r>
              <w:rPr>
                <w:rFonts w:hint="eastAsia" w:asciiTheme="minorEastAsia" w:hAnsiTheme="minorEastAsia" w:cstheme="minorEastAsia"/>
                <w:color w:val="000000"/>
                <w:kern w:val="0"/>
                <w:szCs w:val="21"/>
                <w:lang w:val="en-US" w:eastAsia="zh-CN"/>
              </w:rPr>
              <w:t>方向探究课</w:t>
            </w: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011A124">
            <w:pPr>
              <w:widowControl/>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临床与健康心理前沿问题探究1</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8035A">
            <w:pPr>
              <w:widowControl/>
              <w:jc w:val="center"/>
              <w:textAlignment w:val="center"/>
              <w:rPr>
                <w:rFonts w:hint="default" w:asciiTheme="minorEastAsia" w:hAnsi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2</w:t>
            </w:r>
          </w:p>
        </w:tc>
      </w:tr>
      <w:tr w14:paraId="0470497B">
        <w:tblPrEx>
          <w:tblCellMar>
            <w:top w:w="0" w:type="dxa"/>
            <w:left w:w="0" w:type="dxa"/>
            <w:bottom w:w="0" w:type="dxa"/>
            <w:right w:w="0" w:type="dxa"/>
          </w:tblCellMar>
        </w:tblPrEx>
        <w:trPr>
          <w:trHeight w:val="608" w:hRule="atLeast"/>
        </w:trPr>
        <w:tc>
          <w:tcPr>
            <w:tcW w:w="1810" w:type="dxa"/>
            <w:vMerge w:val="continue"/>
            <w:tcBorders>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293BE6">
            <w:pPr>
              <w:widowControl/>
              <w:jc w:val="center"/>
              <w:textAlignment w:val="center"/>
              <w:rPr>
                <w:rFonts w:hint="eastAsia" w:asciiTheme="minorEastAsia" w:hAnsiTheme="minorEastAsia" w:cstheme="minorEastAsia"/>
                <w:color w:val="000000"/>
                <w:kern w:val="0"/>
                <w:szCs w:val="21"/>
              </w:rPr>
            </w:pP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A596103">
            <w:pPr>
              <w:widowControl/>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临床与健康心理前沿问题探究2</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83D95">
            <w:pPr>
              <w:widowControl/>
              <w:jc w:val="center"/>
              <w:textAlignment w:val="center"/>
              <w:rPr>
                <w:rFonts w:hint="default" w:asciiTheme="minorEastAsia" w:hAnsi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2</w:t>
            </w:r>
          </w:p>
        </w:tc>
      </w:tr>
      <w:tr w14:paraId="4FA19B17">
        <w:tblPrEx>
          <w:tblCellMar>
            <w:top w:w="0" w:type="dxa"/>
            <w:left w:w="0" w:type="dxa"/>
            <w:bottom w:w="0" w:type="dxa"/>
            <w:right w:w="0" w:type="dxa"/>
          </w:tblCellMar>
        </w:tblPrEx>
        <w:trPr>
          <w:trHeight w:val="608" w:hRule="atLeast"/>
        </w:trPr>
        <w:tc>
          <w:tcPr>
            <w:tcW w:w="1810" w:type="dxa"/>
            <w:vMerge w:val="restart"/>
            <w:tcBorders>
              <w:top w:val="single" w:color="auto" w:sz="4" w:space="0"/>
              <w:left w:val="single" w:color="auto" w:sz="4" w:space="0"/>
              <w:right w:val="single" w:color="auto" w:sz="4" w:space="0"/>
            </w:tcBorders>
            <w:shd w:val="clear" w:color="auto" w:fill="auto"/>
            <w:noWrap/>
            <w:tcMar>
              <w:top w:w="15" w:type="dxa"/>
              <w:left w:w="15" w:type="dxa"/>
              <w:right w:w="15" w:type="dxa"/>
            </w:tcMar>
            <w:vAlign w:val="center"/>
          </w:tcPr>
          <w:p w14:paraId="260C2D55">
            <w:pPr>
              <w:widowControl/>
              <w:jc w:val="center"/>
              <w:textAlignment w:val="center"/>
              <w:rPr>
                <w:rFonts w:hint="default" w:asciiTheme="minorEastAsia" w:hAnsiTheme="minorEastAsia" w:eastAsiaTheme="minorEastAsia" w:cstheme="minorEastAsia"/>
                <w:color w:val="000000"/>
                <w:kern w:val="0"/>
                <w:szCs w:val="21"/>
                <w:lang w:val="en-US" w:eastAsia="zh-CN"/>
              </w:rPr>
            </w:pPr>
            <w:r>
              <w:rPr>
                <w:rFonts w:hint="eastAsia" w:asciiTheme="minorEastAsia" w:hAnsiTheme="minorEastAsia" w:cstheme="minorEastAsia"/>
                <w:color w:val="000000"/>
                <w:kern w:val="0"/>
                <w:szCs w:val="21"/>
                <w:lang w:val="en-US" w:eastAsia="zh-CN"/>
              </w:rPr>
              <w:t>专业选修课</w:t>
            </w: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A581B6C">
            <w:pPr>
              <w:widowControl/>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高级心理统计学原理级起SPSS应用</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9C8D7">
            <w:pPr>
              <w:widowControl/>
              <w:jc w:val="center"/>
              <w:textAlignment w:val="center"/>
              <w:rPr>
                <w:rFonts w:hint="default" w:asciiTheme="minorEastAsia" w:hAnsi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2</w:t>
            </w:r>
          </w:p>
        </w:tc>
      </w:tr>
      <w:tr w14:paraId="0B72945B">
        <w:tblPrEx>
          <w:tblCellMar>
            <w:top w:w="0" w:type="dxa"/>
            <w:left w:w="0" w:type="dxa"/>
            <w:bottom w:w="0" w:type="dxa"/>
            <w:right w:w="0" w:type="dxa"/>
          </w:tblCellMar>
        </w:tblPrEx>
        <w:trPr>
          <w:trHeight w:val="608" w:hRule="atLeast"/>
        </w:trPr>
        <w:tc>
          <w:tcPr>
            <w:tcW w:w="1810" w:type="dxa"/>
            <w:vMerge w:val="continue"/>
            <w:tcBorders>
              <w:left w:val="single" w:color="auto" w:sz="4" w:space="0"/>
              <w:right w:val="single" w:color="auto" w:sz="4" w:space="0"/>
            </w:tcBorders>
            <w:shd w:val="clear" w:color="auto" w:fill="auto"/>
            <w:noWrap/>
            <w:tcMar>
              <w:top w:w="15" w:type="dxa"/>
              <w:left w:w="15" w:type="dxa"/>
              <w:right w:w="15" w:type="dxa"/>
            </w:tcMar>
            <w:vAlign w:val="center"/>
          </w:tcPr>
          <w:p w14:paraId="7CF8C8E8">
            <w:pPr>
              <w:widowControl/>
              <w:jc w:val="center"/>
              <w:textAlignment w:val="center"/>
              <w:rPr>
                <w:rFonts w:hint="eastAsia" w:asciiTheme="minorEastAsia" w:hAnsiTheme="minorEastAsia" w:cstheme="minorEastAsia"/>
                <w:color w:val="000000"/>
                <w:kern w:val="0"/>
                <w:szCs w:val="21"/>
              </w:rPr>
            </w:pP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710B9830">
            <w:pPr>
              <w:widowControl/>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现代测量软件应用</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E7542">
            <w:pPr>
              <w:widowControl/>
              <w:jc w:val="center"/>
              <w:textAlignment w:val="center"/>
              <w:rPr>
                <w:rFonts w:hint="default" w:asciiTheme="minorEastAsia" w:hAnsi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2</w:t>
            </w:r>
          </w:p>
        </w:tc>
      </w:tr>
      <w:tr w14:paraId="12CDD72D">
        <w:tblPrEx>
          <w:tblCellMar>
            <w:top w:w="0" w:type="dxa"/>
            <w:left w:w="0" w:type="dxa"/>
            <w:bottom w:w="0" w:type="dxa"/>
            <w:right w:w="0" w:type="dxa"/>
          </w:tblCellMar>
        </w:tblPrEx>
        <w:trPr>
          <w:trHeight w:val="608" w:hRule="atLeast"/>
        </w:trPr>
        <w:tc>
          <w:tcPr>
            <w:tcW w:w="1810" w:type="dxa"/>
            <w:vMerge w:val="continue"/>
            <w:tcBorders>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1E3C42">
            <w:pPr>
              <w:widowControl/>
              <w:jc w:val="center"/>
              <w:textAlignment w:val="center"/>
              <w:rPr>
                <w:rFonts w:hint="eastAsia" w:asciiTheme="minorEastAsia" w:hAnsiTheme="minorEastAsia" w:cstheme="minorEastAsia"/>
                <w:color w:val="000000"/>
                <w:kern w:val="0"/>
                <w:szCs w:val="21"/>
              </w:rPr>
            </w:pP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31280E5">
            <w:pPr>
              <w:widowControl/>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认知发展研究专题</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BC0EF">
            <w:pPr>
              <w:widowControl/>
              <w:jc w:val="center"/>
              <w:textAlignment w:val="center"/>
              <w:rPr>
                <w:rFonts w:hint="default" w:asciiTheme="minorEastAsia" w:hAnsi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2</w:t>
            </w:r>
          </w:p>
        </w:tc>
      </w:tr>
      <w:tr w14:paraId="2D51FECB">
        <w:tblPrEx>
          <w:tblCellMar>
            <w:top w:w="0" w:type="dxa"/>
            <w:left w:w="0" w:type="dxa"/>
            <w:bottom w:w="0" w:type="dxa"/>
            <w:right w:w="0" w:type="dxa"/>
          </w:tblCellMar>
        </w:tblPrEx>
        <w:trPr>
          <w:trHeight w:val="608" w:hRule="atLeast"/>
        </w:trPr>
        <w:tc>
          <w:tcPr>
            <w:tcW w:w="1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EB45E5">
            <w:pPr>
              <w:widowControl/>
              <w:jc w:val="center"/>
              <w:textAlignment w:val="center"/>
              <w:rPr>
                <w:rFonts w:hint="default" w:asciiTheme="minorEastAsia" w:hAnsiTheme="minorEastAsia" w:eastAsiaTheme="minorEastAsia" w:cstheme="minorEastAsia"/>
                <w:color w:val="000000"/>
                <w:kern w:val="0"/>
                <w:szCs w:val="21"/>
                <w:lang w:val="en-US" w:eastAsia="zh-CN"/>
              </w:rPr>
            </w:pPr>
            <w:r>
              <w:rPr>
                <w:rFonts w:hint="eastAsia" w:asciiTheme="minorEastAsia" w:hAnsiTheme="minorEastAsia" w:cstheme="minorEastAsia"/>
                <w:color w:val="000000"/>
                <w:kern w:val="0"/>
                <w:szCs w:val="21"/>
                <w:lang w:val="en-US" w:eastAsia="zh-CN"/>
              </w:rPr>
              <w:t>跨学科选修课</w:t>
            </w: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0AF4BD36">
            <w:pPr>
              <w:widowControl/>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社会性发展研究专题</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99C25">
            <w:pPr>
              <w:widowControl/>
              <w:jc w:val="center"/>
              <w:textAlignment w:val="center"/>
              <w:rPr>
                <w:rFonts w:hint="default" w:asciiTheme="minorEastAsia" w:hAnsi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2</w:t>
            </w:r>
          </w:p>
        </w:tc>
      </w:tr>
      <w:tr w14:paraId="55D21D98">
        <w:tblPrEx>
          <w:tblCellMar>
            <w:top w:w="0" w:type="dxa"/>
            <w:left w:w="0" w:type="dxa"/>
            <w:bottom w:w="0" w:type="dxa"/>
            <w:right w:w="0" w:type="dxa"/>
          </w:tblCellMar>
        </w:tblPrEx>
        <w:trPr>
          <w:trHeight w:val="608" w:hRule="atLeast"/>
        </w:trPr>
        <w:tc>
          <w:tcPr>
            <w:tcW w:w="1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32A865">
            <w:pPr>
              <w:widowControl/>
              <w:jc w:val="center"/>
              <w:textAlignment w:val="center"/>
              <w:rPr>
                <w:rFonts w:hint="default" w:asciiTheme="minorEastAsia" w:hAnsiTheme="minorEastAsia" w:eastAsiaTheme="minorEastAsia" w:cstheme="minorEastAsia"/>
                <w:color w:val="000000"/>
                <w:kern w:val="0"/>
                <w:szCs w:val="21"/>
                <w:lang w:val="en-US" w:eastAsia="zh-CN"/>
              </w:rPr>
            </w:pPr>
            <w:r>
              <w:rPr>
                <w:rFonts w:hint="eastAsia" w:asciiTheme="minorEastAsia" w:hAnsiTheme="minorEastAsia" w:cstheme="minorEastAsia"/>
                <w:color w:val="000000"/>
                <w:kern w:val="0"/>
                <w:szCs w:val="21"/>
                <w:lang w:val="en-US" w:eastAsia="zh-CN"/>
              </w:rPr>
              <w:t>学术活动</w:t>
            </w: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D3CF053">
            <w:pPr>
              <w:widowControl/>
              <w:jc w:val="center"/>
              <w:textAlignment w:val="center"/>
              <w:rPr>
                <w:rFonts w:hint="default" w:ascii="宋体" w:hAnsi="宋体" w:eastAsia="宋体" w:cs="宋体"/>
                <w:sz w:val="24"/>
                <w:lang w:val="en-US" w:eastAsia="zh-CN"/>
              </w:rPr>
            </w:pPr>
            <w:r>
              <w:rPr>
                <w:rFonts w:hint="eastAsia" w:ascii="宋体" w:hAnsi="宋体" w:eastAsia="宋体" w:cs="宋体"/>
                <w:sz w:val="18"/>
                <w:szCs w:val="18"/>
                <w:lang w:val="en-US" w:eastAsia="zh-CN"/>
              </w:rPr>
              <w:t>至少参加1次本学科的学术会议，听取不少于10场学术讲座</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14D9B">
            <w:pPr>
              <w:widowControl/>
              <w:jc w:val="center"/>
              <w:textAlignment w:val="center"/>
              <w:rPr>
                <w:rFonts w:hint="default" w:asciiTheme="minorEastAsia" w:hAnsi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1</w:t>
            </w:r>
          </w:p>
        </w:tc>
      </w:tr>
      <w:tr w14:paraId="30E4D8E5">
        <w:tblPrEx>
          <w:tblCellMar>
            <w:top w:w="0" w:type="dxa"/>
            <w:left w:w="0" w:type="dxa"/>
            <w:bottom w:w="0" w:type="dxa"/>
            <w:right w:w="0" w:type="dxa"/>
          </w:tblCellMar>
        </w:tblPrEx>
        <w:trPr>
          <w:trHeight w:val="608" w:hRule="atLeast"/>
        </w:trPr>
        <w:tc>
          <w:tcPr>
            <w:tcW w:w="181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921BFC">
            <w:pPr>
              <w:widowControl/>
              <w:jc w:val="center"/>
              <w:textAlignment w:val="center"/>
              <w:rPr>
                <w:rFonts w:hint="default" w:asciiTheme="minorEastAsia" w:hAnsiTheme="minorEastAsia" w:eastAsiaTheme="minorEastAsia" w:cstheme="minorEastAsia"/>
                <w:color w:val="000000"/>
                <w:kern w:val="0"/>
                <w:szCs w:val="21"/>
                <w:lang w:val="en-US" w:eastAsia="zh-CN"/>
              </w:rPr>
            </w:pPr>
            <w:r>
              <w:rPr>
                <w:rFonts w:hint="eastAsia" w:asciiTheme="minorEastAsia" w:hAnsiTheme="minorEastAsia" w:cstheme="minorEastAsia"/>
                <w:color w:val="000000"/>
                <w:kern w:val="0"/>
                <w:szCs w:val="21"/>
                <w:lang w:val="en-US" w:eastAsia="zh-CN"/>
              </w:rPr>
              <w:t>实践活动</w:t>
            </w:r>
          </w:p>
        </w:tc>
        <w:tc>
          <w:tcPr>
            <w:tcW w:w="4981"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600103B">
            <w:pPr>
              <w:widowControl/>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参加教学实践、社会实践或科研实践</w:t>
            </w:r>
          </w:p>
        </w:tc>
        <w:tc>
          <w:tcPr>
            <w:tcW w:w="11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0C35B">
            <w:pPr>
              <w:widowControl/>
              <w:jc w:val="center"/>
              <w:textAlignment w:val="center"/>
              <w:rPr>
                <w:rFonts w:hint="default" w:asciiTheme="minorEastAsia" w:hAnsiTheme="minorEastAsia" w:cstheme="minorEastAsia"/>
                <w:color w:val="000000"/>
                <w:szCs w:val="21"/>
                <w:lang w:val="en-US" w:eastAsia="zh-CN"/>
              </w:rPr>
            </w:pPr>
            <w:r>
              <w:rPr>
                <w:rFonts w:hint="eastAsia" w:asciiTheme="minorEastAsia" w:hAnsiTheme="minorEastAsia" w:cstheme="minorEastAsia"/>
                <w:color w:val="000000"/>
                <w:szCs w:val="21"/>
                <w:lang w:val="en-US" w:eastAsia="zh-CN"/>
              </w:rPr>
              <w:t>1</w:t>
            </w:r>
          </w:p>
        </w:tc>
      </w:tr>
    </w:tbl>
    <w:p w14:paraId="611E8E6A">
      <w:pPr>
        <w:jc w:val="both"/>
        <w:rPr>
          <w:rFonts w:hint="eastAsia" w:asciiTheme="minorEastAsia" w:hAnsiTheme="minorEastAsia" w:cstheme="minorEastAsia"/>
          <w:sz w:val="24"/>
        </w:rPr>
      </w:pPr>
    </w:p>
    <w:p w14:paraId="542B999C">
      <w:pPr>
        <w:jc w:val="center"/>
        <w:rPr>
          <w:rFonts w:hint="eastAsia" w:asciiTheme="minorEastAsia" w:hAnsiTheme="minorEastAsia" w:cstheme="minorEastAsia"/>
          <w:sz w:val="24"/>
        </w:rPr>
      </w:pPr>
    </w:p>
    <w:p w14:paraId="5CE0ECA7">
      <w:pPr>
        <w:ind w:firstLine="2160" w:firstLineChars="900"/>
        <w:jc w:val="both"/>
        <w:rPr>
          <w:rFonts w:asciiTheme="minorEastAsia" w:hAnsiTheme="minorEastAsia" w:cstheme="minorEastAsia"/>
          <w:b/>
          <w:bCs/>
          <w:sz w:val="24"/>
        </w:rPr>
      </w:pPr>
      <w:r>
        <w:rPr>
          <w:rFonts w:hint="eastAsia" w:asciiTheme="minorEastAsia" w:hAnsiTheme="minorEastAsia" w:cstheme="minorEastAsia"/>
          <w:sz w:val="24"/>
        </w:rPr>
        <w:t>备注：具体以实际安排课程为准</w:t>
      </w:r>
    </w:p>
    <w:p w14:paraId="1B001058">
      <w:pPr>
        <w:rPr>
          <w:rFonts w:asciiTheme="minorEastAsia" w:hAnsiTheme="minorEastAsia" w:cstheme="minorEastAsia"/>
          <w:b/>
          <w:bCs/>
          <w:sz w:val="24"/>
        </w:rPr>
      </w:pPr>
    </w:p>
    <w:p w14:paraId="5526613D">
      <w:pPr>
        <w:rPr>
          <w:rFonts w:asciiTheme="minorEastAsia" w:hAnsiTheme="minorEastAsia" w:cstheme="minorEastAsia"/>
          <w:b/>
          <w:bCs/>
          <w:sz w:val="24"/>
        </w:rPr>
      </w:pPr>
    </w:p>
    <w:p w14:paraId="5904297F">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报考条件：</w:t>
      </w:r>
    </w:p>
    <w:p w14:paraId="01DD662D">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1、拥护《中华人民共和国宪法》,遵守法律、法规，品行端正。</w:t>
      </w:r>
    </w:p>
    <w:p w14:paraId="57EADB9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2、申请人已获得学士学位，且获得学士学位后工作三年以上，或虽无学士学位但已获得硕士或博士学位者；或通过教育部留学中心认证的国（境）外学士、硕士或博士学位获得者。</w:t>
      </w:r>
    </w:p>
    <w:p w14:paraId="0E479622">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3、在教学、科研、专门技术、管理等方面做出成绩，具有研究生毕业同等学力，学术水平或专门技术水平已达到学位授予标准的人员。</w:t>
      </w:r>
    </w:p>
    <w:p w14:paraId="13540610">
      <w:pPr>
        <w:rPr>
          <w:rFonts w:asciiTheme="minorEastAsia" w:hAnsiTheme="minorEastAsia" w:cstheme="minorEastAsia"/>
          <w:b/>
          <w:bCs/>
          <w:sz w:val="24"/>
        </w:rPr>
      </w:pPr>
    </w:p>
    <w:p w14:paraId="6F297B18">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学位申请资格审核相关程序：</w:t>
      </w:r>
    </w:p>
    <w:p w14:paraId="7846C308">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1、学院接收拟在我校申请学位的同等学力人员的学位申请，申请人登录同等学力信息平台录入个人信息完成网上报名。</w:t>
      </w:r>
    </w:p>
    <w:p w14:paraId="7CE041D1">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2、研究生院统一组织进行现场确认工作，进行学位申请资格审核并完成头像和指纹采集工作。研究生院统一组织的现场确认工作一般在每年3月完成，具体时间将视情况另行通知。</w:t>
      </w:r>
    </w:p>
    <w:p w14:paraId="3E9A0C00">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3、申请人不得同时向两个及以上学位授予单位提出申请。</w:t>
      </w:r>
    </w:p>
    <w:p w14:paraId="6757D3F1">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4、申请人完成现场确认并按规定时间缴纳学费后方为通过学位申请资格审核。</w:t>
      </w:r>
    </w:p>
    <w:p w14:paraId="40692E64">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5、学院在每年5月前，向当年通过申请资格审核人员发布同意接受硕士学位申请的通知并组织入学教育，向申请人详细介绍学位申请流程、相关政策要求等。</w:t>
      </w:r>
    </w:p>
    <w:p w14:paraId="287D9FB7">
      <w:pPr>
        <w:rPr>
          <w:rFonts w:asciiTheme="minorEastAsia" w:hAnsiTheme="minorEastAsia" w:cstheme="minorEastAsia"/>
          <w:b/>
          <w:bCs/>
          <w:sz w:val="24"/>
        </w:rPr>
      </w:pPr>
    </w:p>
    <w:p w14:paraId="3A050DBE">
      <w:pPr>
        <w:rPr>
          <w:rFonts w:hint="eastAsia" w:asciiTheme="minorEastAsia" w:hAnsiTheme="minorEastAsia" w:cstheme="minorEastAsia"/>
          <w:b/>
          <w:bCs/>
          <w:sz w:val="24"/>
        </w:rPr>
      </w:pPr>
    </w:p>
    <w:p w14:paraId="7CC29D54">
      <w:pPr>
        <w:rPr>
          <w:rFonts w:hint="eastAsia" w:asciiTheme="minorEastAsia" w:hAnsiTheme="minorEastAsia" w:cstheme="minorEastAsia"/>
          <w:b/>
          <w:bCs/>
          <w:sz w:val="24"/>
        </w:rPr>
      </w:pPr>
    </w:p>
    <w:p w14:paraId="2F6A502C">
      <w:pPr>
        <w:rPr>
          <w:rFonts w:asciiTheme="minorEastAsia" w:hAnsiTheme="minorEastAsia" w:cstheme="minorEastAsia"/>
          <w:b/>
          <w:bCs/>
          <w:sz w:val="24"/>
        </w:rPr>
      </w:pPr>
    </w:p>
    <w:p w14:paraId="072CA590">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课程学习阶段和学位论文阶段要求：</w:t>
      </w:r>
    </w:p>
    <w:p w14:paraId="0CA33674">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1、同等学力人员申请硕士学位分为两个阶段：课程学习阶段（简称第一阶段）和撰写硕士学位论文及答辩阶段（简称第二阶段）。</w:t>
      </w:r>
    </w:p>
    <w:p w14:paraId="53D3D6CF">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第一阶段：申请人自通过资格审查之日起，必须在5年内完成并通过相关学位课程考试，包括培养方案规定的全部课程考试及国家组织的外国语水平及学科综合水平考试，修满规定的学分，获得合格证书。5年内未通过我校组织的课程考试和国家组织的外国语水平及学科综合水平考试者，本次申请无效。</w:t>
      </w:r>
    </w:p>
    <w:p w14:paraId="55FBF7E6">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3、第二阶段：申请人应在全部课程考试通过后（以最后一门课程考试完成的时间为准）进入论文撰写阶段，申请人应在通过全部考试后的一年内提交学位论文，在提交学位论文后的半年内完成学位论文答辩。</w:t>
      </w:r>
    </w:p>
    <w:p w14:paraId="4281E4DC">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4、第一、第二两阶段的学习期限不超过六年半，逾期未办理相应手续或学位论文未能通过答辩者，本次申请无效。</w:t>
      </w:r>
    </w:p>
    <w:p w14:paraId="7A9F49F4">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5、如论文答辩未通过，但论文答辩委员会建议修改论文后再重新答辩者，可申请一次重新答辩，但需在半年之内通过论文答辩，且重新交纳相关费用，如仍未通过则不能再申请学位。</w:t>
      </w:r>
    </w:p>
    <w:p w14:paraId="2ED1A9A9">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6、学位授予按照我校《江西师范大学关于授予具有研究生毕业同等学力人员硕士学位的管理办法》和《江西师范大学学位授予工作细则》等文件的有关规定办理。</w:t>
      </w:r>
    </w:p>
    <w:p w14:paraId="5F57ECE1">
      <w:pPr>
        <w:rPr>
          <w:rFonts w:asciiTheme="minorEastAsia" w:hAnsiTheme="minorEastAsia" w:cstheme="minorEastAsia"/>
          <w:b/>
          <w:bCs/>
          <w:sz w:val="24"/>
        </w:rPr>
      </w:pPr>
    </w:p>
    <w:p w14:paraId="71C8E17C">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收费标准和授课方式：</w:t>
      </w:r>
    </w:p>
    <w:p w14:paraId="43A7CA80">
      <w:pPr>
        <w:numPr>
          <w:ilvl w:val="0"/>
          <w:numId w:val="2"/>
        </w:numPr>
        <w:spacing w:line="360" w:lineRule="auto"/>
        <w:ind w:firstLine="600" w:firstLineChars="250"/>
        <w:rPr>
          <w:rFonts w:hint="eastAsia" w:asciiTheme="minorEastAsia" w:hAnsiTheme="minorEastAsia" w:cstheme="minorEastAsia"/>
          <w:sz w:val="24"/>
          <w:lang w:val="en-US" w:eastAsia="zh-CN"/>
        </w:rPr>
      </w:pPr>
      <w:r>
        <w:rPr>
          <w:rFonts w:hint="eastAsia" w:asciiTheme="minorEastAsia" w:hAnsiTheme="minorEastAsia" w:cstheme="minorEastAsia"/>
          <w:sz w:val="24"/>
          <w:lang w:val="en-US" w:eastAsia="zh-CN"/>
        </w:rPr>
        <w:t>学费：16000元；</w:t>
      </w:r>
    </w:p>
    <w:p w14:paraId="7342BD20">
      <w:pPr>
        <w:numPr>
          <w:ilvl w:val="0"/>
          <w:numId w:val="2"/>
        </w:num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lang w:val="en-US" w:eastAsia="zh-CN"/>
        </w:rPr>
        <w:t>论文答辩费：9000元</w:t>
      </w:r>
    </w:p>
    <w:p w14:paraId="147DD365">
      <w:pPr>
        <w:numPr>
          <w:ilvl w:val="0"/>
          <w:numId w:val="2"/>
        </w:num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lang w:val="en-US" w:eastAsia="zh-CN"/>
        </w:rPr>
        <w:t>学习</w:t>
      </w:r>
      <w:r>
        <w:rPr>
          <w:rFonts w:hint="eastAsia" w:asciiTheme="minorEastAsia" w:hAnsiTheme="minorEastAsia" w:cstheme="minorEastAsia"/>
          <w:sz w:val="24"/>
        </w:rPr>
        <w:t>方式：远程</w:t>
      </w:r>
      <w:r>
        <w:rPr>
          <w:rFonts w:hint="eastAsia" w:asciiTheme="minorEastAsia" w:hAnsiTheme="minorEastAsia" w:cstheme="minorEastAsia"/>
          <w:sz w:val="24"/>
          <w:lang w:val="en-US" w:eastAsia="zh-CN"/>
        </w:rPr>
        <w:t>教学+自学相结合</w:t>
      </w:r>
    </w:p>
    <w:p w14:paraId="0F3DDBD3">
      <w:pPr>
        <w:rPr>
          <w:rFonts w:asciiTheme="minorEastAsia" w:hAnsiTheme="minorEastAsia" w:cstheme="minorEastAsia"/>
          <w:color w:val="333333"/>
          <w:kern w:val="0"/>
          <w:sz w:val="24"/>
          <w:shd w:val="clear" w:color="auto" w:fill="FFFFFF"/>
        </w:rPr>
      </w:pPr>
      <w:bookmarkStart w:id="0" w:name="_GoBack"/>
      <w:bookmarkEnd w:id="0"/>
    </w:p>
    <w:p w14:paraId="525015CB">
      <w:pPr>
        <w:rPr>
          <w:rFonts w:asciiTheme="minorEastAsia" w:hAnsiTheme="minorEastAsia" w:cstheme="minorEastAsia"/>
          <w:b/>
          <w:bCs/>
          <w:sz w:val="24"/>
        </w:rPr>
      </w:pPr>
    </w:p>
    <w:p w14:paraId="793DE90B"/>
    <w:p w14:paraId="4D721D59"/>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A3FF5">
    <w:pPr>
      <w:pStyle w:val="5"/>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88915"/>
          <wp:effectExtent l="0" t="0" r="2540" b="6985"/>
          <wp:wrapNone/>
          <wp:docPr id="3" name="WordPictureWatermark52821" descr="江西师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52821" descr="江西师大"/>
                  <pic:cNvPicPr>
                    <a:picLocks noChangeAspect="1"/>
                  </pic:cNvPicPr>
                </pic:nvPicPr>
                <pic:blipFill>
                  <a:blip r:embed="rId1">
                    <a:lum bright="69998" contrast="-70001"/>
                  </a:blip>
                  <a:stretch>
                    <a:fillRect/>
                  </a:stretch>
                </pic:blipFill>
                <pic:spPr>
                  <a:xfrm>
                    <a:off x="0" y="0"/>
                    <a:ext cx="5274310" cy="52889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25820F"/>
    <w:multiLevelType w:val="singleLevel"/>
    <w:tmpl w:val="EE25820F"/>
    <w:lvl w:ilvl="0" w:tentative="0">
      <w:start w:val="1"/>
      <w:numFmt w:val="decimal"/>
      <w:suff w:val="nothing"/>
      <w:lvlText w:val="%1、"/>
      <w:lvlJc w:val="left"/>
    </w:lvl>
  </w:abstractNum>
  <w:abstractNum w:abstractNumId="1">
    <w:nsid w:val="149C28AC"/>
    <w:multiLevelType w:val="singleLevel"/>
    <w:tmpl w:val="149C28A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4E135EB0"/>
    <w:rsid w:val="007D3F98"/>
    <w:rsid w:val="00C509C2"/>
    <w:rsid w:val="00CC4BDC"/>
    <w:rsid w:val="05703A7B"/>
    <w:rsid w:val="18E7039D"/>
    <w:rsid w:val="22331CF0"/>
    <w:rsid w:val="27CA1E78"/>
    <w:rsid w:val="288467A4"/>
    <w:rsid w:val="35D164CA"/>
    <w:rsid w:val="36900530"/>
    <w:rsid w:val="38053292"/>
    <w:rsid w:val="3C40637B"/>
    <w:rsid w:val="460F748A"/>
    <w:rsid w:val="4BE92426"/>
    <w:rsid w:val="4E135EB0"/>
    <w:rsid w:val="508D4841"/>
    <w:rsid w:val="5743039E"/>
    <w:rsid w:val="69B31EED"/>
    <w:rsid w:val="78182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5"/>
    </w:pPr>
    <w:rPr>
      <w:rFonts w:ascii="宋体" w:hAnsi="宋体" w:eastAsia="宋体" w:cs="宋体"/>
      <w:sz w:val="24"/>
      <w:lang w:val="zh-CN" w:bidi="zh-CN"/>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 w:type="paragraph" w:styleId="10">
    <w:name w:val="List Paragraph"/>
    <w:basedOn w:val="1"/>
    <w:qFormat/>
    <w:uiPriority w:val="1"/>
    <w:pPr>
      <w:ind w:left="120" w:right="497" w:firstLine="480"/>
    </w:pPr>
    <w:rPr>
      <w:rFonts w:ascii="宋体" w:hAnsi="宋体" w:eastAsia="宋体" w:cs="宋体"/>
      <w:lang w:val="zh-CN" w:bidi="zh-CN"/>
    </w:rPr>
  </w:style>
  <w:style w:type="character" w:customStyle="1" w:styleId="11">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1496</Words>
  <Characters>1536</Characters>
  <Lines>132</Lines>
  <Paragraphs>37</Paragraphs>
  <TotalTime>1</TotalTime>
  <ScaleCrop>false</ScaleCrop>
  <LinksUpToDate>false</LinksUpToDate>
  <CharactersWithSpaces>14471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2021-05-25T02:42:00Z</dcterms:created>
  <dc:creator>读研MBA-言言</dc:creator>
  <cp:lastModifiedBy>Administrator</cp:lastModifiedBy>
  <dcterms:modified xsi:type="dcterms:W3CDTF">2026-01-14T10:02:15Z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07F32AC80A4644B7B350D230D1A4D818</vt:lpwstr>
  </property>
  <property fmtid="{D5CDD505-2E9C-101B-9397-08002B2CF9AE}" pid="4" name="commondata">
    <vt:lpwstr>eyJoZGlkIjoiMjJkYmYyOGQwNjU2YTFjYjBlYWQzZDdlZjc2Nzk1ZWYifQ==</vt:lpwstr>
  </property>
  <property fmtid="{D5CDD505-2E9C-101B-9397-08002B2CF9AE}" pid="5" name="KSOTemplateDocerSaveRecord">
    <vt:lpwstr>eyJoZGlkIjoiMjJkYmYyOGQwNjU2YTFjYjBlYWQzZDdlZjc2Nzk1ZWYifQ==</vt:lpwstr>
  </property>
</Properties>
</file>