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A6EE8">
      <w:pPr>
        <w:jc w:val="center"/>
      </w:pPr>
      <w:r>
        <w:drawing>
          <wp:inline distT="0" distB="0" distL="114300" distR="114300">
            <wp:extent cx="5272405" cy="1332865"/>
            <wp:effectExtent l="0" t="0" r="444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5272405" cy="1332865"/>
                    </a:xfrm>
                    <a:prstGeom prst="rect">
                      <a:avLst/>
                    </a:prstGeom>
                    <a:noFill/>
                    <a:ln>
                      <a:noFill/>
                    </a:ln>
                  </pic:spPr>
                </pic:pic>
              </a:graphicData>
            </a:graphic>
          </wp:inline>
        </w:drawing>
      </w:r>
    </w:p>
    <w:p w14:paraId="00B802E4">
      <w:pPr>
        <w:ind w:left="3744" w:leftChars="100" w:hanging="3534" w:hangingChars="1100"/>
        <w:rPr>
          <w:rFonts w:ascii="Times New Roman" w:cs="Times New Roman" w:hAnsiTheme="minorEastAsia"/>
          <w:b/>
          <w:bCs/>
          <w:color w:val="000000"/>
          <w:kern w:val="0"/>
          <w:sz w:val="32"/>
          <w:szCs w:val="32"/>
        </w:rPr>
      </w:pPr>
      <w:r>
        <w:rPr>
          <w:rFonts w:hint="eastAsia" w:ascii="Times New Roman" w:cs="Times New Roman" w:hAnsiTheme="minorEastAsia"/>
          <w:b/>
          <w:bCs/>
          <w:color w:val="000000"/>
          <w:kern w:val="0"/>
          <w:sz w:val="32"/>
          <w:szCs w:val="32"/>
        </w:rPr>
        <w:t>西</w:t>
      </w:r>
      <w:r>
        <w:rPr>
          <w:rFonts w:ascii="Times New Roman" w:cs="Times New Roman" w:hAnsiTheme="minorEastAsia"/>
          <w:b/>
          <w:bCs/>
          <w:color w:val="000000"/>
          <w:kern w:val="0"/>
          <w:sz w:val="32"/>
          <w:szCs w:val="32"/>
        </w:rPr>
        <w:t>北师范大学同等学力申硕</w:t>
      </w:r>
      <w:r>
        <w:rPr>
          <w:rFonts w:hint="eastAsia" w:ascii="Times New Roman" w:cs="Times New Roman" w:hAnsiTheme="minorEastAsia"/>
          <w:b/>
          <w:bCs/>
          <w:color w:val="000000"/>
          <w:kern w:val="0"/>
          <w:sz w:val="32"/>
          <w:szCs w:val="32"/>
        </w:rPr>
        <w:t>学前教育学专业</w:t>
      </w:r>
      <w:r>
        <w:rPr>
          <w:rFonts w:ascii="Times New Roman" w:cs="Times New Roman" w:hAnsiTheme="minorEastAsia"/>
          <w:b/>
          <w:bCs/>
          <w:color w:val="000000"/>
          <w:kern w:val="0"/>
          <w:sz w:val="32"/>
          <w:szCs w:val="32"/>
        </w:rPr>
        <w:t>研修课程</w:t>
      </w:r>
      <w:r>
        <w:rPr>
          <w:rFonts w:hint="eastAsia" w:ascii="Times New Roman" w:cs="Times New Roman" w:hAnsiTheme="minorEastAsia"/>
          <w:b/>
          <w:bCs/>
          <w:color w:val="000000"/>
          <w:kern w:val="0"/>
          <w:sz w:val="32"/>
          <w:szCs w:val="32"/>
        </w:rPr>
        <w:t xml:space="preserve">    </w:t>
      </w:r>
      <w:r>
        <w:rPr>
          <w:rFonts w:ascii="Times New Roman" w:cs="Times New Roman" w:hAnsiTheme="minorEastAsia"/>
          <w:b/>
          <w:bCs/>
          <w:color w:val="000000"/>
          <w:kern w:val="0"/>
          <w:sz w:val="32"/>
          <w:szCs w:val="32"/>
        </w:rPr>
        <w:t>招生简章</w:t>
      </w:r>
    </w:p>
    <w:p w14:paraId="40B530DE">
      <w:pPr>
        <w:rPr>
          <w:rFonts w:ascii="Times New Roman" w:cs="Times New Roman" w:hAnsiTheme="minorEastAsia"/>
          <w:b/>
          <w:bCs/>
          <w:color w:val="000000"/>
          <w:kern w:val="0"/>
          <w:sz w:val="24"/>
        </w:rPr>
      </w:pPr>
    </w:p>
    <w:p w14:paraId="132F737E">
      <w:pPr>
        <w:rPr>
          <w:rFonts w:ascii="Times New Roman" w:cs="Times New Roman" w:hAnsiTheme="minorEastAsia"/>
          <w:b/>
          <w:bCs/>
          <w:color w:val="000000"/>
          <w:kern w:val="0"/>
          <w:sz w:val="24"/>
        </w:rPr>
      </w:pPr>
    </w:p>
    <w:p w14:paraId="22E7806B">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院校简介</w:t>
      </w:r>
    </w:p>
    <w:p w14:paraId="6B0A3C39">
      <w:pPr>
        <w:widowControl/>
        <w:spacing w:line="360" w:lineRule="auto"/>
        <w:ind w:firstLine="420" w:firstLineChars="200"/>
        <w:jc w:val="left"/>
        <w:rPr>
          <w:rFonts w:ascii="Times New Roman" w:cs="Times New Roman" w:hAnsiTheme="minorEastAsia"/>
          <w:color w:val="333333"/>
          <w:szCs w:val="21"/>
        </w:rPr>
      </w:pPr>
      <w:r>
        <w:rPr>
          <w:rFonts w:ascii="Times New Roman" w:cs="Times New Roman" w:hAnsiTheme="minorEastAsia"/>
          <w:kern w:val="0"/>
          <w:szCs w:val="21"/>
        </w:rPr>
        <w:t>西北师范大学为国家重点支持的西部地区十四所大学之一。其前身为国立北平师范大学，</w:t>
      </w:r>
      <w:r>
        <w:rPr>
          <w:rFonts w:ascii="Times New Roman" w:hAnsi="Times New Roman" w:cs="Times New Roman"/>
          <w:kern w:val="0"/>
          <w:szCs w:val="21"/>
        </w:rPr>
        <w:t xml:space="preserve"> 1937</w:t>
      </w:r>
      <w:r>
        <w:rPr>
          <w:rFonts w:ascii="Times New Roman" w:cs="Times New Roman" w:hAnsiTheme="minorEastAsia"/>
          <w:kern w:val="0"/>
          <w:szCs w:val="21"/>
        </w:rPr>
        <w:t>年</w:t>
      </w:r>
      <w:r>
        <w:rPr>
          <w:rFonts w:cs="Times New Roman" w:asciiTheme="minorEastAsia" w:hAnsiTheme="minorEastAsia"/>
          <w:kern w:val="0"/>
          <w:szCs w:val="21"/>
        </w:rPr>
        <w:t>“七七”</w:t>
      </w:r>
      <w:r>
        <w:rPr>
          <w:rFonts w:ascii="Times New Roman" w:cs="Times New Roman" w:hAnsiTheme="minorEastAsia"/>
          <w:kern w:val="0"/>
          <w:szCs w:val="21"/>
        </w:rPr>
        <w:t>事变后，国立北平师范大学与同时西迁的国立北平大学、北洋工学院共同组成西北联合大学，国立北平师范大学整体改组为西北联合大学下设的教育学院，后改为师范学院。</w:t>
      </w:r>
      <w:r>
        <w:rPr>
          <w:rFonts w:ascii="Times New Roman" w:hAnsi="Times New Roman" w:cs="Times New Roman"/>
          <w:kern w:val="0"/>
          <w:szCs w:val="21"/>
        </w:rPr>
        <w:t>1939</w:t>
      </w:r>
      <w:r>
        <w:rPr>
          <w:rFonts w:ascii="Times New Roman" w:cs="Times New Roman" w:hAnsiTheme="minorEastAsia"/>
          <w:kern w:val="0"/>
          <w:szCs w:val="21"/>
        </w:rPr>
        <w:t>年西北联合大学师范学院独立设置，改称国立西北师范学院，</w:t>
      </w:r>
      <w:r>
        <w:rPr>
          <w:rFonts w:ascii="Times New Roman" w:hAnsi="Times New Roman" w:cs="Times New Roman"/>
          <w:kern w:val="0"/>
          <w:szCs w:val="21"/>
        </w:rPr>
        <w:t>1941</w:t>
      </w:r>
      <w:r>
        <w:rPr>
          <w:rFonts w:ascii="Times New Roman" w:cs="Times New Roman" w:hAnsiTheme="minorEastAsia"/>
          <w:kern w:val="0"/>
          <w:szCs w:val="21"/>
        </w:rPr>
        <w:t>年迁往兰州。抗日战争胜利后，国立西北师范学院继续在兰州办学。同时，恢复北平师范大学（现北京师范大学）。</w:t>
      </w:r>
      <w:r>
        <w:rPr>
          <w:rFonts w:ascii="Times New Roman" w:hAnsi="Times New Roman" w:cs="Times New Roman"/>
          <w:kern w:val="0"/>
          <w:szCs w:val="21"/>
        </w:rPr>
        <w:t>1958</w:t>
      </w:r>
      <w:r>
        <w:rPr>
          <w:rFonts w:ascii="Times New Roman" w:cs="Times New Roman" w:hAnsiTheme="minorEastAsia"/>
          <w:kern w:val="0"/>
          <w:szCs w:val="21"/>
        </w:rPr>
        <w:t>年前学校为教育部直属的全国</w:t>
      </w:r>
      <w:r>
        <w:rPr>
          <w:rFonts w:ascii="Times New Roman" w:hAnsi="Times New Roman" w:cs="Times New Roman"/>
          <w:kern w:val="0"/>
          <w:szCs w:val="21"/>
        </w:rPr>
        <w:t>6</w:t>
      </w:r>
      <w:r>
        <w:rPr>
          <w:rFonts w:ascii="Times New Roman" w:cs="Times New Roman" w:hAnsiTheme="minorEastAsia"/>
          <w:kern w:val="0"/>
          <w:szCs w:val="21"/>
        </w:rPr>
        <w:t>所重点高师院校之一，</w:t>
      </w:r>
      <w:r>
        <w:rPr>
          <w:rFonts w:ascii="Times New Roman" w:hAnsi="Times New Roman" w:cs="Times New Roman"/>
          <w:kern w:val="0"/>
          <w:szCs w:val="21"/>
        </w:rPr>
        <w:t>1958</w:t>
      </w:r>
      <w:r>
        <w:rPr>
          <w:rFonts w:ascii="Times New Roman" w:cs="Times New Roman" w:hAnsiTheme="minorEastAsia"/>
          <w:kern w:val="0"/>
          <w:szCs w:val="21"/>
        </w:rPr>
        <w:t>年划归甘肃省领导，改称甘肃师范大学</w:t>
      </w:r>
      <w:r>
        <w:rPr>
          <w:rFonts w:hint="eastAsia" w:ascii="Times New Roman" w:cs="Times New Roman" w:hAnsiTheme="minorEastAsia"/>
          <w:kern w:val="0"/>
          <w:szCs w:val="21"/>
        </w:rPr>
        <w:t>，</w:t>
      </w:r>
      <w:r>
        <w:rPr>
          <w:rFonts w:ascii="Times New Roman" w:hAnsi="Times New Roman" w:cs="Times New Roman"/>
          <w:kern w:val="0"/>
          <w:szCs w:val="21"/>
        </w:rPr>
        <w:t>1981</w:t>
      </w:r>
      <w:r>
        <w:rPr>
          <w:rFonts w:ascii="Times New Roman" w:cs="Times New Roman" w:hAnsiTheme="minorEastAsia"/>
          <w:kern w:val="0"/>
          <w:szCs w:val="21"/>
        </w:rPr>
        <w:t>年复名为西北师范学院</w:t>
      </w:r>
      <w:r>
        <w:rPr>
          <w:rFonts w:hint="eastAsia" w:ascii="Times New Roman" w:cs="Times New Roman" w:hAnsiTheme="minorEastAsia"/>
          <w:kern w:val="0"/>
          <w:szCs w:val="21"/>
        </w:rPr>
        <w:t>，</w:t>
      </w:r>
      <w:r>
        <w:rPr>
          <w:rFonts w:ascii="Times New Roman" w:hAnsi="Times New Roman" w:cs="Times New Roman"/>
          <w:kern w:val="0"/>
          <w:szCs w:val="21"/>
        </w:rPr>
        <w:t>1988</w:t>
      </w:r>
      <w:r>
        <w:rPr>
          <w:rFonts w:ascii="Times New Roman" w:cs="Times New Roman" w:hAnsiTheme="minorEastAsia"/>
          <w:kern w:val="0"/>
          <w:szCs w:val="21"/>
        </w:rPr>
        <w:t>年更名为西北师范大学。学校是国务院首批确定具有学士、硕士、博士三级学位授予权的单位。现有教育学、中国语言文学、历史学、数学、化学、物理学、马克思主义理论、地理学、心理学</w:t>
      </w:r>
      <w:r>
        <w:rPr>
          <w:rFonts w:ascii="Times New Roman" w:hAnsi="Times New Roman" w:cs="Times New Roman"/>
          <w:kern w:val="0"/>
          <w:szCs w:val="21"/>
        </w:rPr>
        <w:t>9</w:t>
      </w:r>
      <w:r>
        <w:rPr>
          <w:rFonts w:ascii="Times New Roman" w:cs="Times New Roman" w:hAnsiTheme="minorEastAsia"/>
          <w:kern w:val="0"/>
          <w:szCs w:val="21"/>
        </w:rPr>
        <w:t>个博士后科研流动站，教育学、心理学、中国语言文学、中国史、数学、物理、化学、地理学、生物学、美术学等</w:t>
      </w:r>
      <w:r>
        <w:rPr>
          <w:rFonts w:ascii="Times New Roman" w:hAnsi="Times New Roman" w:cs="Times New Roman"/>
          <w:kern w:val="0"/>
          <w:szCs w:val="21"/>
        </w:rPr>
        <w:t>10</w:t>
      </w:r>
      <w:r>
        <w:rPr>
          <w:rFonts w:ascii="Times New Roman" w:cs="Times New Roman" w:hAnsiTheme="minorEastAsia"/>
          <w:kern w:val="0"/>
          <w:szCs w:val="21"/>
        </w:rPr>
        <w:t>个一级博士学位授权学科和教育博士</w:t>
      </w:r>
      <w:r>
        <w:rPr>
          <w:rFonts w:ascii="Times New Roman" w:hAnsi="Times New Roman" w:cs="Times New Roman"/>
          <w:kern w:val="0"/>
          <w:szCs w:val="21"/>
        </w:rPr>
        <w:t>1</w:t>
      </w:r>
      <w:r>
        <w:rPr>
          <w:rFonts w:ascii="Times New Roman" w:cs="Times New Roman" w:hAnsiTheme="minorEastAsia"/>
          <w:kern w:val="0"/>
          <w:szCs w:val="21"/>
        </w:rPr>
        <w:t>个专业博士授权类别，</w:t>
      </w:r>
      <w:r>
        <w:rPr>
          <w:rFonts w:ascii="Times New Roman" w:hAnsi="Times New Roman" w:cs="Times New Roman"/>
          <w:kern w:val="0"/>
          <w:szCs w:val="21"/>
        </w:rPr>
        <w:t xml:space="preserve"> 31</w:t>
      </w:r>
      <w:r>
        <w:rPr>
          <w:rFonts w:ascii="Times New Roman" w:cs="Times New Roman" w:hAnsiTheme="minorEastAsia"/>
          <w:kern w:val="0"/>
          <w:szCs w:val="21"/>
        </w:rPr>
        <w:t>个一级学科硕士点</w:t>
      </w:r>
      <w:r>
        <w:rPr>
          <w:rFonts w:ascii="Times New Roman" w:cs="Times New Roman" w:hAnsiTheme="minorEastAsia"/>
          <w:color w:val="333333"/>
          <w:szCs w:val="21"/>
        </w:rPr>
        <w:t>。</w:t>
      </w:r>
    </w:p>
    <w:p w14:paraId="694297FB">
      <w:pPr>
        <w:widowControl/>
        <w:spacing w:line="440" w:lineRule="exact"/>
        <w:ind w:firstLine="420" w:firstLineChars="200"/>
        <w:rPr>
          <w:rFonts w:ascii="黑体"/>
          <w:color w:val="000000" w:themeColor="text1"/>
          <w:sz w:val="24"/>
        </w:rPr>
      </w:pPr>
      <w:r>
        <w:rPr>
          <w:rFonts w:hint="eastAsia" w:ascii="Times New Roman" w:cs="Times New Roman" w:hAnsiTheme="minorEastAsia"/>
          <w:kern w:val="0"/>
          <w:szCs w:val="21"/>
        </w:rPr>
        <w:t>西北师范大学教育学科是全国较早设立的教育学科，立足西北，站在学科前沿，围绕国家教育发展战略需要，建构现代教育学科理论体系，为西北乃至全国教育事业发展培养高水平人才，引领与推进西北基础教育、农村教育、民族教育的改革与发展。已成为历史悠久、特色鲜明的在国内外具有重大影响的学科，现招收学前教育专业的研修课程培训班学员。</w:t>
      </w:r>
    </w:p>
    <w:p w14:paraId="3D673624">
      <w:pPr>
        <w:widowControl/>
        <w:spacing w:line="360" w:lineRule="auto"/>
        <w:ind w:firstLine="420" w:firstLineChars="200"/>
        <w:jc w:val="left"/>
        <w:rPr>
          <w:rFonts w:ascii="Times New Roman" w:cs="Times New Roman" w:hAnsiTheme="minorEastAsia"/>
          <w:color w:val="333333"/>
          <w:szCs w:val="21"/>
        </w:rPr>
      </w:pPr>
    </w:p>
    <w:p w14:paraId="410602F1">
      <w:pPr>
        <w:rPr>
          <w:rFonts w:ascii="Times New Roman" w:cs="Times New Roman" w:hAnsiTheme="minorEastAsia"/>
          <w:b/>
          <w:bCs/>
          <w:color w:val="000000"/>
          <w:kern w:val="0"/>
          <w:sz w:val="24"/>
        </w:rPr>
      </w:pPr>
    </w:p>
    <w:p w14:paraId="12DAF63A">
      <w:pPr>
        <w:rPr>
          <w:rFonts w:ascii="Times New Roman" w:cs="Times New Roman" w:hAnsiTheme="minorEastAsia"/>
          <w:b/>
          <w:bCs/>
          <w:color w:val="000000"/>
          <w:kern w:val="0"/>
          <w:sz w:val="24"/>
        </w:rPr>
      </w:pPr>
    </w:p>
    <w:p w14:paraId="44495C3B">
      <w:pPr>
        <w:rPr>
          <w:rFonts w:ascii="Times New Roman" w:cs="Times New Roman" w:hAnsiTheme="minorEastAsia"/>
          <w:b/>
          <w:bCs/>
          <w:color w:val="000000"/>
          <w:kern w:val="0"/>
          <w:sz w:val="24"/>
        </w:rPr>
      </w:pPr>
    </w:p>
    <w:p w14:paraId="69D939A7">
      <w:pPr>
        <w:rPr>
          <w:rFonts w:ascii="Times New Roman" w:cs="Times New Roman" w:hAnsiTheme="minorEastAsia"/>
          <w:b/>
          <w:bCs/>
          <w:color w:val="000000"/>
          <w:kern w:val="0"/>
          <w:sz w:val="24"/>
        </w:rPr>
      </w:pPr>
    </w:p>
    <w:p w14:paraId="3100D4E3">
      <w:pPr>
        <w:rPr>
          <w:rFonts w:ascii="Times New Roman" w:cs="Times New Roman" w:hAnsiTheme="minorEastAsia"/>
          <w:b/>
          <w:bCs/>
          <w:color w:val="000000"/>
          <w:kern w:val="0"/>
          <w:sz w:val="24"/>
        </w:rPr>
      </w:pPr>
    </w:p>
    <w:p w14:paraId="2DBFD877">
      <w:pPr>
        <w:rPr>
          <w:rFonts w:ascii="Times New Roman" w:cs="Times New Roman" w:hAnsiTheme="minorEastAsia"/>
          <w:b/>
          <w:bCs/>
          <w:color w:val="000000"/>
          <w:kern w:val="0"/>
          <w:sz w:val="24"/>
        </w:rPr>
      </w:pPr>
    </w:p>
    <w:p w14:paraId="5B617005">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培养目标</w:t>
      </w:r>
    </w:p>
    <w:p w14:paraId="6468D093">
      <w:pPr>
        <w:widowControl/>
        <w:spacing w:line="360" w:lineRule="auto"/>
        <w:ind w:firstLine="420" w:firstLineChars="200"/>
        <w:jc w:val="left"/>
        <w:rPr>
          <w:rFonts w:ascii="Times New Roman" w:cs="Times New Roman" w:hAnsiTheme="minorEastAsia"/>
          <w:kern w:val="0"/>
          <w:szCs w:val="21"/>
        </w:rPr>
      </w:pPr>
      <w:r>
        <w:rPr>
          <w:rFonts w:hint="eastAsia" w:ascii="Times New Roman" w:cs="Times New Roman" w:hAnsiTheme="minorEastAsia"/>
          <w:kern w:val="0"/>
          <w:szCs w:val="21"/>
        </w:rPr>
        <w:t>学前教育学主要为各级各类幼儿园、教育科研机构、师范院校和其他儿童工作相关部门培养适应国家和地方经济与社会发展需要的复合型高层次学前教育专门人才。该专业要求学生具有良好的道德品质和强烈的事业心，掌握系统的学前教育基础理论和专门知识，掌握学科发展的前沿信息，具有较强的从事学前教育的理论与实践研究的能力，能熟练运用第一外国语进行国际交流，具备较强的教育、科研能力，具有健康的体魄和良好的心理素质。</w:t>
      </w:r>
    </w:p>
    <w:p w14:paraId="0EF8A626">
      <w:pPr>
        <w:pStyle w:val="2"/>
        <w:spacing w:line="440" w:lineRule="exact"/>
        <w:rPr>
          <w:rFonts w:ascii="Times New Roman" w:cs="Times New Roman" w:hAnsiTheme="minorEastAsia"/>
          <w:kern w:val="0"/>
          <w:szCs w:val="21"/>
        </w:rPr>
      </w:pPr>
    </w:p>
    <w:p w14:paraId="035D0C96">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培养优势</w:t>
      </w:r>
    </w:p>
    <w:p w14:paraId="050A025E">
      <w:pPr>
        <w:rPr>
          <w:rFonts w:ascii="Times New Roman" w:cs="Times New Roman" w:hAnsiTheme="minorEastAsia"/>
          <w:b/>
          <w:bCs/>
          <w:color w:val="000000"/>
          <w:kern w:val="0"/>
          <w:sz w:val="24"/>
        </w:rPr>
      </w:pPr>
    </w:p>
    <w:p w14:paraId="1CE62350">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免试入学</w:t>
      </w:r>
      <w:r>
        <w:rPr>
          <w:rFonts w:hint="eastAsia" w:ascii="Times New Roman" w:hAnsi="Times New Roman"/>
        </w:rPr>
        <w:t>：</w:t>
      </w:r>
      <w:r>
        <w:rPr>
          <w:rFonts w:ascii="Times New Roman" w:cs="Times New Roman" w:hAnsiTheme="minorEastAsia"/>
          <w:kern w:val="0"/>
          <w:szCs w:val="21"/>
        </w:rPr>
        <w:t>大学本科学历获得学士学位，并获得学士学位后工作三年以上</w:t>
      </w:r>
      <w:r>
        <w:rPr>
          <w:rFonts w:hint="eastAsia" w:ascii="Times New Roman" w:cs="Times New Roman" w:hAnsiTheme="minorEastAsia"/>
          <w:kern w:val="0"/>
          <w:szCs w:val="21"/>
        </w:rPr>
        <w:t>社会人士</w:t>
      </w:r>
      <w:r>
        <w:rPr>
          <w:rFonts w:hint="eastAsia" w:ascii="Times New Roman" w:hAnsi="Times New Roman"/>
        </w:rPr>
        <w:t>即可报名参加，先学习再考试，有足够充分的准备和学习课程的时间；</w:t>
      </w:r>
    </w:p>
    <w:p w14:paraId="407B2908">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学科优势</w:t>
      </w:r>
      <w:r>
        <w:rPr>
          <w:rFonts w:hint="eastAsia" w:ascii="Times New Roman" w:hAnsi="Times New Roman"/>
        </w:rPr>
        <w:t>：学校是国务院首批确定具有学士、硕士、博士三级学位授予权的单位，拥有30个硕士学位授权一级学科等，已形成合理的学位授权体系；</w:t>
      </w:r>
    </w:p>
    <w:p w14:paraId="5E4FE246">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师资队伍</w:t>
      </w:r>
      <w:r>
        <w:rPr>
          <w:rFonts w:hint="eastAsia" w:ascii="Times New Roman" w:hAnsi="Times New Roman"/>
        </w:rPr>
        <w:t>：学校有一支结构合理、素质优良的师资队伍，国家级人才称号获得者及项目入选67人次，省级人才称号获得者及项目入选184人次；</w:t>
      </w:r>
    </w:p>
    <w:p w14:paraId="18771443">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科学研究</w:t>
      </w:r>
      <w:r>
        <w:rPr>
          <w:rFonts w:hint="eastAsia" w:ascii="Times New Roman" w:hAnsi="Times New Roman"/>
        </w:rPr>
        <w:t>：学校具有较强的科学研究能力，历来重视产学研结合，获得了一批高级别的科研奖励，共获省部级以上奖励630余项，其中全国“五个一工程”奖1项，教育部人文社会科学研究优秀成果奖11项等等；</w:t>
      </w:r>
    </w:p>
    <w:p w14:paraId="1552B279">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国际合作</w:t>
      </w:r>
      <w:r>
        <w:rPr>
          <w:rFonts w:hint="eastAsia" w:ascii="Times New Roman" w:hAnsi="Times New Roman"/>
        </w:rPr>
        <w:t>：注重国际合作与交流，积极推进国际化发展战略。与美国中田纳西州立大学、美国南伊利诺伊州立大学等国外高校建立了长期稳定的战略合作关系，在学生联合培养、教师互访、科学研究等方面开展实质性合作；</w:t>
      </w:r>
    </w:p>
    <w:p w14:paraId="1E76150D">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社会服务</w:t>
      </w:r>
      <w:r>
        <w:rPr>
          <w:rFonts w:hint="eastAsia" w:ascii="Times New Roman" w:hAnsi="Times New Roman"/>
        </w:rPr>
        <w:t>：学校充分发挥区位办学优势，主动对接国家战略和区域经济社会发展需求，以智库服务、教育培训、成果转化、教育资源输出、文化资源开放为主要内容，不断促进开放办学，拓展社会服务空间。</w:t>
      </w:r>
    </w:p>
    <w:p w14:paraId="4939EE04">
      <w:pPr>
        <w:rPr>
          <w:rFonts w:ascii="Times New Roman" w:cs="Times New Roman" w:hAnsiTheme="minorEastAsia"/>
          <w:b/>
          <w:bCs/>
          <w:color w:val="000000"/>
          <w:kern w:val="0"/>
          <w:sz w:val="24"/>
        </w:rPr>
      </w:pPr>
    </w:p>
    <w:p w14:paraId="3BF0D618">
      <w:pPr>
        <w:rPr>
          <w:rFonts w:ascii="Times New Roman" w:cs="Times New Roman" w:hAnsiTheme="minorEastAsia"/>
          <w:b/>
          <w:bCs/>
          <w:color w:val="000000"/>
          <w:kern w:val="0"/>
          <w:sz w:val="24"/>
        </w:rPr>
      </w:pPr>
    </w:p>
    <w:p w14:paraId="59A4AB87">
      <w:pPr>
        <w:rPr>
          <w:rFonts w:ascii="Times New Roman" w:cs="Times New Roman" w:hAnsiTheme="minorEastAsia"/>
          <w:b/>
          <w:bCs/>
          <w:color w:val="000000"/>
          <w:kern w:val="0"/>
          <w:sz w:val="24"/>
        </w:rPr>
      </w:pPr>
    </w:p>
    <w:p w14:paraId="04497D6F">
      <w:pPr>
        <w:rPr>
          <w:rFonts w:ascii="Times New Roman" w:cs="Times New Roman" w:hAnsiTheme="minorEastAsia"/>
          <w:b/>
          <w:bCs/>
          <w:color w:val="000000"/>
          <w:kern w:val="0"/>
          <w:sz w:val="24"/>
        </w:rPr>
      </w:pPr>
    </w:p>
    <w:p w14:paraId="68587B02">
      <w:pPr>
        <w:rPr>
          <w:rFonts w:ascii="Times New Roman" w:cs="Times New Roman" w:hAnsiTheme="minorEastAsia"/>
          <w:b/>
          <w:bCs/>
          <w:color w:val="000000"/>
          <w:kern w:val="0"/>
          <w:sz w:val="24"/>
        </w:rPr>
      </w:pPr>
    </w:p>
    <w:p w14:paraId="0118D0CD">
      <w:pPr>
        <w:rPr>
          <w:rFonts w:hint="eastAsia" w:ascii="Times New Roman" w:cs="Times New Roman" w:hAnsiTheme="minorEastAsia"/>
          <w:b/>
          <w:bCs/>
          <w:color w:val="000000"/>
          <w:kern w:val="0"/>
          <w:sz w:val="24"/>
        </w:rPr>
      </w:pPr>
    </w:p>
    <w:p w14:paraId="43B1BF67">
      <w:pPr>
        <w:rPr>
          <w:rFonts w:hint="eastAsia" w:ascii="Times New Roman" w:cs="Times New Roman" w:hAnsiTheme="minorEastAsia"/>
          <w:b/>
          <w:bCs/>
          <w:color w:val="000000"/>
          <w:kern w:val="0"/>
          <w:sz w:val="24"/>
        </w:rPr>
      </w:pPr>
    </w:p>
    <w:p w14:paraId="6B70B4CB">
      <w:pPr>
        <w:rPr>
          <w:rFonts w:ascii="Times New Roman" w:cs="Times New Roman" w:hAnsiTheme="minorEastAsia"/>
          <w:b/>
          <w:bCs/>
          <w:color w:val="000000"/>
          <w:kern w:val="0"/>
          <w:sz w:val="24"/>
        </w:rPr>
      </w:pPr>
    </w:p>
    <w:p w14:paraId="04FC3C05">
      <w:pPr>
        <w:rPr>
          <w:rFonts w:ascii="Times New Roman" w:cs="Times New Roman" w:hAnsiTheme="minorEastAsia"/>
          <w:b/>
          <w:bCs/>
          <w:color w:val="000000"/>
          <w:kern w:val="0"/>
          <w:sz w:val="24"/>
        </w:rPr>
      </w:pPr>
    </w:p>
    <w:p w14:paraId="39A3201D">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课程设置</w:t>
      </w:r>
    </w:p>
    <w:p w14:paraId="437D66D8">
      <w:pPr>
        <w:rPr>
          <w:rFonts w:ascii="Times New Roman" w:cs="Times New Roman" w:hAnsiTheme="minorEastAsia"/>
          <w:b/>
          <w:bCs/>
          <w:color w:val="000000"/>
          <w:kern w:val="0"/>
          <w:sz w:val="24"/>
        </w:rPr>
      </w:pPr>
    </w:p>
    <w:tbl>
      <w:tblPr>
        <w:tblStyle w:val="6"/>
        <w:tblW w:w="8220" w:type="dxa"/>
        <w:tblInd w:w="0" w:type="dxa"/>
        <w:tblLayout w:type="autofit"/>
        <w:tblCellMar>
          <w:top w:w="0" w:type="dxa"/>
          <w:left w:w="0" w:type="dxa"/>
          <w:bottom w:w="0" w:type="dxa"/>
          <w:right w:w="0" w:type="dxa"/>
        </w:tblCellMar>
      </w:tblPr>
      <w:tblGrid>
        <w:gridCol w:w="1521"/>
        <w:gridCol w:w="3810"/>
        <w:gridCol w:w="2889"/>
      </w:tblGrid>
      <w:tr w14:paraId="65842B7A">
        <w:tblPrEx>
          <w:tblCellMar>
            <w:top w:w="0" w:type="dxa"/>
            <w:left w:w="0" w:type="dxa"/>
            <w:bottom w:w="0" w:type="dxa"/>
            <w:right w:w="0" w:type="dxa"/>
          </w:tblCellMar>
        </w:tblPrEx>
        <w:trPr>
          <w:trHeight w:val="491" w:hRule="atLeast"/>
        </w:trPr>
        <w:tc>
          <w:tcPr>
            <w:tcW w:w="82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79E80">
            <w:pPr>
              <w:jc w:val="center"/>
              <w:textAlignment w:val="center"/>
              <w:rPr>
                <w:rFonts w:ascii="宋体" w:hAnsi="宋体" w:eastAsia="宋体" w:cs="宋体"/>
                <w:color w:val="000000"/>
                <w:sz w:val="24"/>
              </w:rPr>
            </w:pPr>
            <w:r>
              <w:rPr>
                <w:rFonts w:hint="eastAsia" w:ascii="宋体" w:hAnsi="宋体" w:cs="宋体"/>
                <w:b/>
                <w:bCs/>
                <w:color w:val="000000"/>
                <w:sz w:val="24"/>
              </w:rPr>
              <w:t>学前教育学专业课程</w:t>
            </w:r>
          </w:p>
        </w:tc>
      </w:tr>
      <w:tr w14:paraId="789F1877">
        <w:tblPrEx>
          <w:tblCellMar>
            <w:top w:w="0" w:type="dxa"/>
            <w:left w:w="0" w:type="dxa"/>
            <w:bottom w:w="0" w:type="dxa"/>
            <w:right w:w="0" w:type="dxa"/>
          </w:tblCellMar>
        </w:tblPrEx>
        <w:trPr>
          <w:trHeight w:val="538" w:hRule="atLeast"/>
        </w:trPr>
        <w:tc>
          <w:tcPr>
            <w:tcW w:w="1521"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15DDB2BA">
            <w:pPr>
              <w:jc w:val="center"/>
              <w:textAlignment w:val="center"/>
              <w:rPr>
                <w:rFonts w:ascii="宋体" w:hAnsi="宋体" w:eastAsia="宋体" w:cs="宋体"/>
                <w:b/>
                <w:color w:val="000000"/>
                <w:sz w:val="22"/>
                <w:szCs w:val="22"/>
              </w:rPr>
            </w:pPr>
            <w:r>
              <w:rPr>
                <w:rFonts w:hint="eastAsia" w:ascii="宋体" w:hAnsi="宋体" w:eastAsia="宋体" w:cs="宋体"/>
                <w:b/>
                <w:color w:val="000000"/>
                <w:sz w:val="22"/>
                <w:szCs w:val="22"/>
              </w:rPr>
              <w:t>必修课程</w:t>
            </w: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65C402">
            <w:pPr>
              <w:jc w:val="center"/>
              <w:textAlignment w:val="center"/>
              <w:rPr>
                <w:rFonts w:asciiTheme="minorEastAsia" w:hAnsiTheme="minorEastAsia" w:cstheme="minorEastAsia"/>
                <w:bCs/>
                <w:color w:val="000000"/>
                <w:szCs w:val="21"/>
              </w:rPr>
            </w:pPr>
            <w:r>
              <w:rPr>
                <w:rFonts w:hint="eastAsia" w:asciiTheme="minorEastAsia" w:hAnsiTheme="minorEastAsia" w:cstheme="minorEastAsia"/>
                <w:color w:val="000000"/>
                <w:kern w:val="0"/>
                <w:szCs w:val="21"/>
              </w:rPr>
              <w:t>中国特色科学社会主义理论与实践研究</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C2A459">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第一外国语</w:t>
            </w:r>
          </w:p>
        </w:tc>
      </w:tr>
      <w:tr w14:paraId="04FAEDD7">
        <w:tblPrEx>
          <w:tblCellMar>
            <w:top w:w="0" w:type="dxa"/>
            <w:left w:w="0" w:type="dxa"/>
            <w:bottom w:w="0" w:type="dxa"/>
            <w:right w:w="0" w:type="dxa"/>
          </w:tblCellMar>
        </w:tblPrEx>
        <w:trPr>
          <w:trHeight w:val="528" w:hRule="atLeast"/>
        </w:trPr>
        <w:tc>
          <w:tcPr>
            <w:tcW w:w="1521" w:type="dxa"/>
            <w:vMerge w:val="continue"/>
            <w:tcBorders>
              <w:left w:val="single" w:color="auto" w:sz="4" w:space="0"/>
              <w:right w:val="single" w:color="auto" w:sz="4" w:space="0"/>
            </w:tcBorders>
            <w:tcMar>
              <w:top w:w="15" w:type="dxa"/>
              <w:left w:w="15" w:type="dxa"/>
              <w:right w:w="15" w:type="dxa"/>
            </w:tcMar>
            <w:vAlign w:val="center"/>
          </w:tcPr>
          <w:p w14:paraId="6AF0A18A">
            <w:pPr>
              <w:jc w:val="center"/>
              <w:textAlignment w:val="center"/>
              <w:rPr>
                <w:rFonts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1082429">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spacing w:val="-6"/>
                <w:kern w:val="0"/>
                <w:szCs w:val="21"/>
              </w:rPr>
              <w:t>马克思主义与社会科学方法论</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F0F575">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教育原理</w:t>
            </w:r>
          </w:p>
        </w:tc>
      </w:tr>
      <w:tr w14:paraId="6AB7419B">
        <w:tblPrEx>
          <w:tblCellMar>
            <w:top w:w="0" w:type="dxa"/>
            <w:left w:w="0" w:type="dxa"/>
            <w:bottom w:w="0" w:type="dxa"/>
            <w:right w:w="0" w:type="dxa"/>
          </w:tblCellMar>
        </w:tblPrEx>
        <w:trPr>
          <w:trHeight w:val="491" w:hRule="atLeast"/>
        </w:trPr>
        <w:tc>
          <w:tcPr>
            <w:tcW w:w="1521" w:type="dxa"/>
            <w:vMerge w:val="continue"/>
            <w:tcBorders>
              <w:left w:val="single" w:color="auto" w:sz="4" w:space="0"/>
              <w:right w:val="single" w:color="auto" w:sz="4" w:space="0"/>
            </w:tcBorders>
            <w:tcMar>
              <w:top w:w="15" w:type="dxa"/>
              <w:left w:w="15" w:type="dxa"/>
              <w:right w:w="15" w:type="dxa"/>
            </w:tcMar>
            <w:vAlign w:val="center"/>
          </w:tcPr>
          <w:p w14:paraId="1EC7F09F">
            <w:pPr>
              <w:jc w:val="center"/>
              <w:textAlignment w:val="center"/>
              <w:rPr>
                <w:rFonts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6A0A3F">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课程与教学论</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10E3CA">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教育研究方法</w:t>
            </w:r>
          </w:p>
        </w:tc>
      </w:tr>
      <w:tr w14:paraId="51C57AB9">
        <w:tblPrEx>
          <w:tblCellMar>
            <w:top w:w="0" w:type="dxa"/>
            <w:left w:w="0" w:type="dxa"/>
            <w:bottom w:w="0" w:type="dxa"/>
            <w:right w:w="0" w:type="dxa"/>
          </w:tblCellMar>
        </w:tblPrEx>
        <w:trPr>
          <w:trHeight w:val="491" w:hRule="atLeast"/>
        </w:trPr>
        <w:tc>
          <w:tcPr>
            <w:tcW w:w="1521" w:type="dxa"/>
            <w:vMerge w:val="continue"/>
            <w:tcBorders>
              <w:left w:val="single" w:color="auto" w:sz="4" w:space="0"/>
              <w:right w:val="single" w:color="auto" w:sz="4" w:space="0"/>
            </w:tcBorders>
            <w:tcMar>
              <w:top w:w="15" w:type="dxa"/>
              <w:left w:w="15" w:type="dxa"/>
              <w:right w:w="15" w:type="dxa"/>
            </w:tcMar>
            <w:vAlign w:val="center"/>
          </w:tcPr>
          <w:p w14:paraId="2DC86351">
            <w:pPr>
              <w:jc w:val="center"/>
              <w:textAlignment w:val="center"/>
              <w:rPr>
                <w:rFonts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6BE1EE">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心理发展与教育</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5B57E3">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学前教育原理</w:t>
            </w:r>
          </w:p>
        </w:tc>
      </w:tr>
      <w:tr w14:paraId="736D0331">
        <w:tblPrEx>
          <w:tblCellMar>
            <w:top w:w="0" w:type="dxa"/>
            <w:left w:w="0" w:type="dxa"/>
            <w:bottom w:w="0" w:type="dxa"/>
            <w:right w:w="0" w:type="dxa"/>
          </w:tblCellMar>
        </w:tblPrEx>
        <w:trPr>
          <w:trHeight w:val="491" w:hRule="atLeast"/>
        </w:trPr>
        <w:tc>
          <w:tcPr>
            <w:tcW w:w="1521" w:type="dxa"/>
            <w:vMerge w:val="continue"/>
            <w:tcBorders>
              <w:left w:val="single" w:color="auto" w:sz="4" w:space="0"/>
              <w:right w:val="single" w:color="auto" w:sz="4" w:space="0"/>
            </w:tcBorders>
            <w:tcMar>
              <w:top w:w="15" w:type="dxa"/>
              <w:left w:w="15" w:type="dxa"/>
              <w:right w:w="15" w:type="dxa"/>
            </w:tcMar>
            <w:vAlign w:val="center"/>
          </w:tcPr>
          <w:p w14:paraId="47E6A97E">
            <w:pPr>
              <w:jc w:val="center"/>
              <w:textAlignment w:val="center"/>
              <w:rPr>
                <w:rFonts w:ascii="宋体" w:hAnsi="宋体"/>
                <w:b/>
                <w:color w:val="000000"/>
                <w:sz w:val="22"/>
                <w:szCs w:val="18"/>
              </w:rPr>
            </w:pPr>
          </w:p>
        </w:tc>
        <w:tc>
          <w:tcPr>
            <w:tcW w:w="3810" w:type="dxa"/>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14:paraId="757B16BD">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 xml:space="preserve">儿童发展理论 </w:t>
            </w:r>
          </w:p>
        </w:tc>
        <w:tc>
          <w:tcPr>
            <w:tcW w:w="2889" w:type="dxa"/>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14:paraId="7CD19DFC">
            <w:pPr>
              <w:jc w:val="center"/>
              <w:textAlignment w:val="center"/>
              <w:rPr>
                <w:rFonts w:asciiTheme="minorEastAsia" w:hAnsiTheme="minorEastAsia" w:cstheme="minorEastAsia"/>
                <w:bCs/>
                <w:color w:val="000000" w:themeColor="text1"/>
                <w:szCs w:val="21"/>
              </w:rPr>
            </w:pPr>
            <w:r>
              <w:rPr>
                <w:rFonts w:hint="eastAsia" w:asciiTheme="minorEastAsia" w:hAnsiTheme="minorEastAsia" w:cstheme="minorEastAsia"/>
                <w:color w:val="000000"/>
                <w:kern w:val="0"/>
                <w:szCs w:val="21"/>
              </w:rPr>
              <w:t>儿童游戏研究</w:t>
            </w:r>
          </w:p>
        </w:tc>
      </w:tr>
      <w:tr w14:paraId="63FB2D33">
        <w:tblPrEx>
          <w:tblCellMar>
            <w:top w:w="0" w:type="dxa"/>
            <w:left w:w="0" w:type="dxa"/>
            <w:bottom w:w="0" w:type="dxa"/>
            <w:right w:w="0" w:type="dxa"/>
          </w:tblCellMar>
        </w:tblPrEx>
        <w:trPr>
          <w:trHeight w:val="491" w:hRule="atLeast"/>
        </w:trPr>
        <w:tc>
          <w:tcPr>
            <w:tcW w:w="1521" w:type="dxa"/>
            <w:vMerge w:val="continue"/>
            <w:tcBorders>
              <w:left w:val="single" w:color="auto" w:sz="4" w:space="0"/>
              <w:bottom w:val="single" w:color="000000" w:sz="4" w:space="0"/>
              <w:right w:val="single" w:color="auto" w:sz="4" w:space="0"/>
            </w:tcBorders>
            <w:tcMar>
              <w:top w:w="15" w:type="dxa"/>
              <w:left w:w="15" w:type="dxa"/>
              <w:right w:w="15" w:type="dxa"/>
            </w:tcMar>
            <w:vAlign w:val="center"/>
          </w:tcPr>
          <w:p w14:paraId="1C539F3F">
            <w:pPr>
              <w:jc w:val="center"/>
              <w:textAlignment w:val="center"/>
              <w:rPr>
                <w:rFonts w:ascii="宋体" w:hAnsi="宋体"/>
                <w:b/>
                <w:color w:val="000000"/>
                <w:sz w:val="22"/>
                <w:szCs w:val="18"/>
              </w:rPr>
            </w:pPr>
          </w:p>
        </w:tc>
        <w:tc>
          <w:tcPr>
            <w:tcW w:w="3810" w:type="dxa"/>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14:paraId="536AD796">
            <w:pPr>
              <w:jc w:val="center"/>
              <w:textAlignment w:val="center"/>
              <w:rPr>
                <w:rFonts w:asciiTheme="minorEastAsia" w:hAnsiTheme="minorEastAsia" w:cstheme="minorEastAsia"/>
                <w:bCs/>
                <w:color w:val="000000"/>
                <w:szCs w:val="21"/>
              </w:rPr>
            </w:pPr>
            <w:r>
              <w:rPr>
                <w:rFonts w:hint="eastAsia" w:asciiTheme="minorEastAsia" w:hAnsiTheme="minorEastAsia" w:cstheme="minorEastAsia"/>
                <w:color w:val="000000"/>
                <w:kern w:val="0"/>
                <w:szCs w:val="21"/>
              </w:rPr>
              <w:t>幼儿园课程研究</w:t>
            </w:r>
          </w:p>
        </w:tc>
        <w:tc>
          <w:tcPr>
            <w:tcW w:w="2889" w:type="dxa"/>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14:paraId="526C7A7E">
            <w:pPr>
              <w:jc w:val="center"/>
              <w:textAlignment w:val="center"/>
              <w:rPr>
                <w:rFonts w:asciiTheme="minorEastAsia" w:hAnsiTheme="minorEastAsia" w:cstheme="minorEastAsia"/>
                <w:bCs/>
                <w:color w:val="000000"/>
                <w:szCs w:val="21"/>
              </w:rPr>
            </w:pPr>
            <w:r>
              <w:rPr>
                <w:rFonts w:hint="eastAsia" w:asciiTheme="minorEastAsia" w:hAnsiTheme="minorEastAsia" w:cstheme="minorEastAsia"/>
                <w:color w:val="000000"/>
                <w:kern w:val="0"/>
                <w:szCs w:val="21"/>
              </w:rPr>
              <w:t>儿童教育文献选读</w:t>
            </w:r>
          </w:p>
        </w:tc>
      </w:tr>
      <w:tr w14:paraId="4F2460BC">
        <w:tblPrEx>
          <w:tblCellMar>
            <w:top w:w="0" w:type="dxa"/>
            <w:left w:w="0" w:type="dxa"/>
            <w:bottom w:w="0" w:type="dxa"/>
            <w:right w:w="0" w:type="dxa"/>
          </w:tblCellMar>
        </w:tblPrEx>
        <w:trPr>
          <w:trHeight w:val="491" w:hRule="atLeast"/>
        </w:trPr>
        <w:tc>
          <w:tcPr>
            <w:tcW w:w="15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62E511">
            <w:pPr>
              <w:jc w:val="center"/>
              <w:textAlignment w:val="center"/>
              <w:rPr>
                <w:rFonts w:ascii="宋体" w:hAnsi="宋体" w:cs="宋体"/>
                <w:color w:val="000000"/>
                <w:sz w:val="22"/>
                <w:szCs w:val="22"/>
              </w:rPr>
            </w:pPr>
            <w:r>
              <w:rPr>
                <w:rFonts w:hint="eastAsia" w:ascii="宋体" w:hAnsi="宋体"/>
                <w:b/>
                <w:color w:val="000000"/>
                <w:sz w:val="22"/>
                <w:szCs w:val="18"/>
              </w:rPr>
              <w:t>选修课程</w:t>
            </w: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B13DD">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教育统计及SPSS应用</w:t>
            </w:r>
          </w:p>
        </w:tc>
        <w:tc>
          <w:tcPr>
            <w:tcW w:w="2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23633">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幼儿园音乐教育研究</w:t>
            </w:r>
          </w:p>
        </w:tc>
      </w:tr>
      <w:tr w14:paraId="5FAA391A">
        <w:tblPrEx>
          <w:tblCellMar>
            <w:top w:w="0" w:type="dxa"/>
            <w:left w:w="0" w:type="dxa"/>
            <w:bottom w:w="0" w:type="dxa"/>
            <w:right w:w="0" w:type="dxa"/>
          </w:tblCellMar>
        </w:tblPrEx>
        <w:trPr>
          <w:trHeight w:val="491" w:hRule="atLeast"/>
        </w:trPr>
        <w:tc>
          <w:tcPr>
            <w:tcW w:w="15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E978A">
            <w:pPr>
              <w:jc w:val="center"/>
              <w:textAlignment w:val="center"/>
              <w:rPr>
                <w:rFonts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41164">
            <w:pPr>
              <w:jc w:val="center"/>
              <w:textAlignment w:val="center"/>
              <w:rPr>
                <w:rFonts w:asciiTheme="minorEastAsia" w:hAnsiTheme="minorEastAsia" w:cstheme="minorEastAsia"/>
                <w:bCs/>
                <w:color w:val="000000"/>
                <w:szCs w:val="21"/>
              </w:rPr>
            </w:pPr>
            <w:r>
              <w:rPr>
                <w:rFonts w:hint="eastAsia" w:ascii="宋体" w:hAnsi="宋体" w:eastAsia="宋体" w:cs="宋体"/>
                <w:bCs/>
                <w:color w:val="000000"/>
                <w:kern w:val="0"/>
                <w:szCs w:val="21"/>
              </w:rPr>
              <w:t>儿童研究的视角与方法</w:t>
            </w:r>
          </w:p>
        </w:tc>
        <w:tc>
          <w:tcPr>
            <w:tcW w:w="2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DD7B2">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儿童发展评价与研究</w:t>
            </w:r>
          </w:p>
        </w:tc>
      </w:tr>
      <w:tr w14:paraId="74C24309">
        <w:tblPrEx>
          <w:tblCellMar>
            <w:top w:w="0" w:type="dxa"/>
            <w:left w:w="0" w:type="dxa"/>
            <w:bottom w:w="0" w:type="dxa"/>
            <w:right w:w="0" w:type="dxa"/>
          </w:tblCellMar>
        </w:tblPrEx>
        <w:trPr>
          <w:trHeight w:val="491" w:hRule="atLeast"/>
        </w:trPr>
        <w:tc>
          <w:tcPr>
            <w:tcW w:w="15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AB545">
            <w:pPr>
              <w:jc w:val="center"/>
              <w:textAlignment w:val="center"/>
              <w:rPr>
                <w:rFonts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4CD369">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儿童教育思想研究</w:t>
            </w:r>
          </w:p>
        </w:tc>
        <w:tc>
          <w:tcPr>
            <w:tcW w:w="2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49B41">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幼儿园教学研究</w:t>
            </w:r>
          </w:p>
        </w:tc>
      </w:tr>
      <w:tr w14:paraId="6A87738C">
        <w:tblPrEx>
          <w:tblCellMar>
            <w:top w:w="0" w:type="dxa"/>
            <w:left w:w="0" w:type="dxa"/>
            <w:bottom w:w="0" w:type="dxa"/>
            <w:right w:w="0" w:type="dxa"/>
          </w:tblCellMar>
        </w:tblPrEx>
        <w:trPr>
          <w:trHeight w:val="491" w:hRule="atLeast"/>
        </w:trPr>
        <w:tc>
          <w:tcPr>
            <w:tcW w:w="15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23207">
            <w:pPr>
              <w:jc w:val="center"/>
              <w:textAlignment w:val="center"/>
              <w:rPr>
                <w:rFonts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66985">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学前教育热点与前沿</w:t>
            </w:r>
          </w:p>
        </w:tc>
        <w:tc>
          <w:tcPr>
            <w:tcW w:w="2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20101">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学前教育政策解读</w:t>
            </w:r>
          </w:p>
        </w:tc>
      </w:tr>
      <w:tr w14:paraId="27DFE15B">
        <w:tblPrEx>
          <w:tblCellMar>
            <w:top w:w="0" w:type="dxa"/>
            <w:left w:w="0" w:type="dxa"/>
            <w:bottom w:w="0" w:type="dxa"/>
            <w:right w:w="0" w:type="dxa"/>
          </w:tblCellMar>
        </w:tblPrEx>
        <w:trPr>
          <w:trHeight w:val="491" w:hRule="atLeast"/>
        </w:trPr>
        <w:tc>
          <w:tcPr>
            <w:tcW w:w="15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E1735">
            <w:pPr>
              <w:jc w:val="center"/>
              <w:textAlignment w:val="center"/>
              <w:rPr>
                <w:rFonts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A446F">
            <w:pPr>
              <w:jc w:val="center"/>
              <w:textAlignment w:val="center"/>
              <w:rPr>
                <w:rFonts w:asciiTheme="minorEastAsia" w:hAnsiTheme="minorEastAsia" w:cstheme="minorEastAsia"/>
                <w:bCs/>
                <w:color w:val="000000"/>
                <w:szCs w:val="21"/>
              </w:rPr>
            </w:pPr>
            <w:r>
              <w:rPr>
                <w:rFonts w:hint="eastAsia" w:ascii="宋体" w:hAnsi="宋体" w:eastAsia="宋体" w:cs="宋体"/>
                <w:color w:val="000000"/>
                <w:kern w:val="0"/>
                <w:szCs w:val="21"/>
              </w:rPr>
              <w:t>家庭教育与儿童发展</w:t>
            </w:r>
          </w:p>
        </w:tc>
        <w:tc>
          <w:tcPr>
            <w:tcW w:w="2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DEB34">
            <w:pPr>
              <w:jc w:val="center"/>
              <w:textAlignment w:val="center"/>
              <w:rPr>
                <w:rFonts w:asciiTheme="minorEastAsia" w:hAnsiTheme="minorEastAsia" w:cstheme="minorEastAsia"/>
                <w:bCs/>
                <w:color w:val="000000"/>
                <w:szCs w:val="21"/>
              </w:rPr>
            </w:pPr>
            <w:r>
              <w:rPr>
                <w:rFonts w:hint="eastAsia" w:ascii="宋体" w:hAnsi="宋体" w:eastAsia="宋体" w:cs="宋体"/>
                <w:bCs/>
                <w:color w:val="000000"/>
                <w:szCs w:val="21"/>
              </w:rPr>
              <w:t>语言能力提升课程</w:t>
            </w:r>
          </w:p>
        </w:tc>
      </w:tr>
    </w:tbl>
    <w:p w14:paraId="6A40D746">
      <w:pPr>
        <w:rPr>
          <w:rFonts w:ascii="Times New Roman" w:cs="Times New Roman" w:hAnsiTheme="minorEastAsia"/>
          <w:b/>
          <w:bCs/>
          <w:color w:val="000000"/>
          <w:kern w:val="0"/>
          <w:sz w:val="24"/>
        </w:rPr>
      </w:pPr>
    </w:p>
    <w:p w14:paraId="724ED1F1">
      <w:pPr>
        <w:jc w:val="center"/>
        <w:rPr>
          <w:rFonts w:ascii="Times New Roman" w:cs="Times New Roman" w:hAnsiTheme="minorEastAsia"/>
          <w:b/>
          <w:bCs/>
          <w:color w:val="000000"/>
          <w:kern w:val="0"/>
          <w:sz w:val="24"/>
        </w:rPr>
      </w:pPr>
      <w:r>
        <w:rPr>
          <w:rFonts w:hint="eastAsia" w:asciiTheme="minorEastAsia" w:hAnsiTheme="minorEastAsia"/>
          <w:szCs w:val="21"/>
        </w:rPr>
        <w:t>注：部分课程参照实际教学</w:t>
      </w:r>
    </w:p>
    <w:p w14:paraId="50BF1636">
      <w:pPr>
        <w:rPr>
          <w:rFonts w:ascii="Times New Roman" w:cs="Times New Roman" w:hAnsiTheme="minorEastAsia"/>
          <w:b/>
          <w:bCs/>
          <w:color w:val="000000"/>
          <w:kern w:val="0"/>
          <w:sz w:val="24"/>
        </w:rPr>
      </w:pPr>
    </w:p>
    <w:p w14:paraId="2E950213">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报考条件</w:t>
      </w:r>
    </w:p>
    <w:p w14:paraId="3B4C0C32">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拥护《中华人民共和国宪法》</w:t>
      </w:r>
      <w:r>
        <w:rPr>
          <w:rFonts w:hint="eastAsia" w:ascii="Times New Roman" w:hAnsi="Times New Roman" w:cs="Times New Roman"/>
          <w:kern w:val="0"/>
          <w:szCs w:val="21"/>
        </w:rPr>
        <w:t>，</w:t>
      </w:r>
      <w:r>
        <w:rPr>
          <w:rFonts w:ascii="Times New Roman" w:cs="Times New Roman" w:hAnsiTheme="minorEastAsia"/>
          <w:kern w:val="0"/>
          <w:szCs w:val="21"/>
        </w:rPr>
        <w:t>遵守法律、法规，品行端正。</w:t>
      </w:r>
    </w:p>
    <w:p w14:paraId="3F8AE6AD">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2、</w:t>
      </w:r>
      <w:r>
        <w:rPr>
          <w:rFonts w:ascii="Times New Roman" w:cs="Times New Roman" w:hAnsiTheme="minorEastAsia"/>
          <w:kern w:val="0"/>
          <w:szCs w:val="21"/>
        </w:rPr>
        <w:t>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0DA6DFB2">
      <w:pPr>
        <w:widowControl/>
        <w:spacing w:line="360" w:lineRule="auto"/>
        <w:jc w:val="left"/>
        <w:rPr>
          <w:rFonts w:hint="default" w:ascii="Times New Roman" w:hAnsi="Times New Roman" w:cs="Times New Roman" w:eastAsiaTheme="minorEastAsia"/>
          <w:kern w:val="0"/>
          <w:szCs w:val="21"/>
          <w:lang w:val="en-US" w:eastAsia="zh-CN"/>
        </w:rPr>
      </w:pPr>
      <w:r>
        <w:rPr>
          <w:rFonts w:hint="eastAsia" w:ascii="Times New Roman" w:cs="Times New Roman" w:hAnsiTheme="minorEastAsia"/>
          <w:kern w:val="0"/>
          <w:szCs w:val="21"/>
        </w:rPr>
        <w:t>3、</w:t>
      </w:r>
      <w:r>
        <w:rPr>
          <w:rFonts w:ascii="Times New Roman" w:cs="Times New Roman" w:hAnsiTheme="minorEastAsia"/>
          <w:kern w:val="0"/>
          <w:szCs w:val="21"/>
        </w:rPr>
        <w:t>有一定专业基础，在教学、科研、专门技术、管理等方面做出成绩。</w:t>
      </w:r>
      <w:r>
        <w:rPr>
          <w:rFonts w:ascii="Times New Roman" w:cs="Times New Roman" w:hAnsiTheme="minorEastAsia"/>
          <w:kern w:val="0"/>
          <w:szCs w:val="21"/>
        </w:rPr>
        <w:br w:type="textWrapping"/>
      </w:r>
      <w:r>
        <w:rPr>
          <w:rFonts w:hint="eastAsia" w:ascii="Times New Roman" w:cs="Times New Roman" w:hAnsiTheme="minorEastAsia"/>
          <w:color w:val="FF0000"/>
          <w:kern w:val="0"/>
          <w:szCs w:val="21"/>
          <w:lang w:val="en-US" w:eastAsia="zh-CN"/>
        </w:rPr>
        <w:t>注：如前置专业非学前教育学相关，需提交当前在职的幼儿园工作证明。</w:t>
      </w:r>
    </w:p>
    <w:p w14:paraId="7457EFAF">
      <w:pPr>
        <w:rPr>
          <w:rFonts w:ascii="Times New Roman" w:cs="Times New Roman" w:hAnsiTheme="minorEastAsia"/>
          <w:b/>
          <w:bCs/>
          <w:color w:val="000000"/>
          <w:kern w:val="0"/>
          <w:sz w:val="24"/>
        </w:rPr>
      </w:pPr>
    </w:p>
    <w:p w14:paraId="14010A00">
      <w:pPr>
        <w:rPr>
          <w:rFonts w:ascii="Times New Roman" w:cs="Times New Roman" w:hAnsiTheme="minorEastAsia"/>
          <w:b/>
          <w:bCs/>
          <w:color w:val="000000"/>
          <w:kern w:val="0"/>
          <w:sz w:val="24"/>
        </w:rPr>
      </w:pPr>
      <w:bookmarkStart w:id="0" w:name="_GoBack"/>
      <w:bookmarkEnd w:id="0"/>
    </w:p>
    <w:p w14:paraId="2CC0C114">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报名材料</w:t>
      </w:r>
    </w:p>
    <w:p w14:paraId="577C41EB">
      <w:pPr>
        <w:rPr>
          <w:rFonts w:ascii="Times New Roman" w:cs="Times New Roman" w:hAnsiTheme="minorEastAsia"/>
          <w:b/>
          <w:bCs/>
          <w:color w:val="000000"/>
          <w:kern w:val="0"/>
          <w:sz w:val="24"/>
        </w:rPr>
      </w:pPr>
    </w:p>
    <w:p w14:paraId="47C6C75C">
      <w:pPr>
        <w:pStyle w:val="9"/>
        <w:widowControl/>
        <w:numPr>
          <w:ilvl w:val="0"/>
          <w:numId w:val="3"/>
        </w:numPr>
        <w:spacing w:line="360" w:lineRule="auto"/>
        <w:ind w:firstLineChars="0"/>
        <w:jc w:val="left"/>
        <w:rPr>
          <w:rFonts w:hint="eastAsia" w:ascii="Times New Roman" w:cs="Times New Roman" w:hAnsiTheme="minorEastAsia"/>
          <w:kern w:val="0"/>
          <w:szCs w:val="21"/>
        </w:rPr>
      </w:pPr>
      <w:r>
        <w:rPr>
          <w:rFonts w:ascii="Times New Roman" w:cs="Times New Roman" w:hAnsiTheme="minorEastAsia"/>
          <w:kern w:val="0"/>
          <w:szCs w:val="21"/>
        </w:rPr>
        <w:t>报名需提交本人身份证、学位证书、毕业证书原件扫描件、电子照片（必须是蓝底照）；</w:t>
      </w:r>
    </w:p>
    <w:p w14:paraId="34C89E68">
      <w:pPr>
        <w:widowControl/>
        <w:spacing w:line="360" w:lineRule="auto"/>
        <w:jc w:val="left"/>
        <w:rPr>
          <w:rFonts w:hint="eastAsia" w:ascii="Times New Roman" w:cs="Times New Roman" w:hAnsiTheme="minorEastAsia"/>
          <w:kern w:val="0"/>
          <w:szCs w:val="21"/>
        </w:rPr>
      </w:pPr>
      <w:r>
        <w:rPr>
          <w:rFonts w:hint="eastAsia" w:ascii="Times New Roman" w:cs="Times New Roman" w:hAnsiTheme="minorEastAsia"/>
          <w:kern w:val="0"/>
          <w:szCs w:val="21"/>
        </w:rPr>
        <w:t>2、</w:t>
      </w:r>
      <w:r>
        <w:rPr>
          <w:rFonts w:ascii="Times New Roman" w:cs="Times New Roman" w:hAnsiTheme="minorEastAsia"/>
          <w:kern w:val="0"/>
          <w:szCs w:val="21"/>
        </w:rPr>
        <w:t>报名截止时间以西北师范大学通知为准；</w:t>
      </w:r>
    </w:p>
    <w:p w14:paraId="71AF7639">
      <w:pPr>
        <w:widowControl/>
        <w:spacing w:line="360" w:lineRule="auto"/>
        <w:jc w:val="left"/>
        <w:rPr>
          <w:rFonts w:hint="eastAsia" w:ascii="Times New Roman" w:cs="Times New Roman" w:hAnsiTheme="minorEastAsia"/>
          <w:b/>
          <w:bCs/>
          <w:color w:val="000000"/>
          <w:kern w:val="0"/>
          <w:sz w:val="24"/>
        </w:rPr>
      </w:pPr>
    </w:p>
    <w:p w14:paraId="2A614221">
      <w:pPr>
        <w:widowControl/>
        <w:spacing w:line="360" w:lineRule="auto"/>
        <w:jc w:val="left"/>
        <w:rPr>
          <w:rFonts w:hint="eastAsia" w:ascii="Times New Roman" w:cs="Times New Roman" w:hAnsiTheme="minorEastAsia"/>
          <w:b/>
          <w:bCs/>
          <w:color w:val="000000"/>
          <w:kern w:val="0"/>
          <w:sz w:val="24"/>
        </w:rPr>
      </w:pPr>
    </w:p>
    <w:p w14:paraId="13530D4F">
      <w:pPr>
        <w:widowControl/>
        <w:spacing w:line="360" w:lineRule="auto"/>
        <w:jc w:val="left"/>
        <w:rPr>
          <w:rFonts w:ascii="Times New Roman" w:cs="Times New Roman" w:hAnsiTheme="minorEastAsia"/>
          <w:b/>
          <w:bCs/>
          <w:color w:val="000000"/>
          <w:kern w:val="0"/>
          <w:sz w:val="24"/>
        </w:rPr>
      </w:pPr>
    </w:p>
    <w:p w14:paraId="6FFA6EB1">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课程学习</w:t>
      </w:r>
    </w:p>
    <w:p w14:paraId="30E16D42">
      <w:pPr>
        <w:widowControl/>
        <w:spacing w:line="360" w:lineRule="auto"/>
        <w:jc w:val="left"/>
        <w:rPr>
          <w:rFonts w:ascii="Times New Roman" w:hAnsi="Times New Roman" w:cs="Times New Roman"/>
          <w:color w:val="FF0000"/>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学习方式：采取在职不脱产的学习方式</w:t>
      </w:r>
      <w:r>
        <w:rPr>
          <w:rFonts w:hint="eastAsia" w:ascii="Times New Roman" w:cs="Times New Roman" w:hAnsiTheme="minorEastAsia"/>
          <w:kern w:val="0"/>
          <w:szCs w:val="21"/>
        </w:rPr>
        <w:t>，</w:t>
      </w:r>
      <w:r>
        <w:rPr>
          <w:rFonts w:hint="eastAsia" w:ascii="Times New Roman" w:cs="Times New Roman" w:hAnsiTheme="minorEastAsia"/>
          <w:color w:val="000000" w:themeColor="text1"/>
          <w:kern w:val="0"/>
          <w:szCs w:val="21"/>
        </w:rPr>
        <w:t>网络授课；</w:t>
      </w:r>
    </w:p>
    <w:p w14:paraId="1B6D8B43">
      <w:pPr>
        <w:widowControl/>
        <w:spacing w:line="360" w:lineRule="auto"/>
        <w:jc w:val="left"/>
        <w:rPr>
          <w:rFonts w:ascii="Times New Roman" w:cs="Times New Roman" w:hAnsiTheme="minorEastAsia"/>
          <w:kern w:val="0"/>
          <w:szCs w:val="21"/>
        </w:rPr>
      </w:pPr>
      <w:r>
        <w:rPr>
          <w:rFonts w:hint="eastAsia" w:ascii="Times New Roman" w:cs="Times New Roman" w:hAnsiTheme="minorEastAsia"/>
          <w:kern w:val="0"/>
          <w:szCs w:val="21"/>
          <w:lang w:val="en-US" w:eastAsia="zh-CN"/>
        </w:rPr>
        <w:t>2</w:t>
      </w:r>
      <w:r>
        <w:rPr>
          <w:rFonts w:hint="eastAsia" w:ascii="Times New Roman" w:cs="Times New Roman" w:hAnsiTheme="minorEastAsia"/>
          <w:kern w:val="0"/>
          <w:szCs w:val="21"/>
        </w:rPr>
        <w:t>、学制：2年。</w:t>
      </w:r>
    </w:p>
    <w:p w14:paraId="624DCDE1">
      <w:pPr>
        <w:rPr>
          <w:rFonts w:ascii="Times New Roman" w:cs="Times New Roman" w:hAnsiTheme="minorEastAsia"/>
          <w:b/>
          <w:bCs/>
          <w:color w:val="000000"/>
          <w:kern w:val="0"/>
          <w:sz w:val="24"/>
        </w:rPr>
      </w:pPr>
    </w:p>
    <w:p w14:paraId="6DC284C0">
      <w:pPr>
        <w:rPr>
          <w:rFonts w:ascii="Times New Roman" w:cs="Times New Roman" w:hAnsiTheme="minorEastAsia"/>
          <w:b/>
          <w:bCs/>
          <w:color w:val="000000"/>
          <w:kern w:val="0"/>
          <w:sz w:val="24"/>
        </w:rPr>
      </w:pPr>
    </w:p>
    <w:p w14:paraId="295344F3">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收费标准</w:t>
      </w:r>
    </w:p>
    <w:p w14:paraId="6CA89B6B">
      <w:pPr>
        <w:widowControl/>
        <w:spacing w:line="360" w:lineRule="auto"/>
        <w:jc w:val="left"/>
        <w:rPr>
          <w:rFonts w:ascii="Times New Roman" w:cs="Times New Roman" w:hAnsiTheme="minorEastAsia"/>
          <w:kern w:val="0"/>
          <w:szCs w:val="21"/>
        </w:rPr>
      </w:pPr>
      <w:r>
        <w:rPr>
          <w:rFonts w:hint="eastAsia" w:ascii="Times New Roman" w:cs="Times New Roman" w:hAnsiTheme="minorEastAsia"/>
          <w:kern w:val="0"/>
          <w:szCs w:val="21"/>
        </w:rPr>
        <w:t>1、学</w:t>
      </w:r>
      <w:r>
        <w:rPr>
          <w:rFonts w:ascii="Times New Roman" w:cs="Times New Roman" w:hAnsiTheme="minorEastAsia"/>
          <w:kern w:val="0"/>
          <w:szCs w:val="21"/>
        </w:rPr>
        <w:t>费用为6000元/人；</w:t>
      </w:r>
    </w:p>
    <w:p w14:paraId="0457B7BA">
      <w:pPr>
        <w:widowControl/>
        <w:spacing w:line="360" w:lineRule="auto"/>
        <w:jc w:val="left"/>
        <w:rPr>
          <w:rFonts w:ascii="Times New Roman" w:cs="Times New Roman" w:hAnsiTheme="minorEastAsia"/>
          <w:kern w:val="0"/>
          <w:szCs w:val="21"/>
        </w:rPr>
      </w:pPr>
      <w:r>
        <w:rPr>
          <w:rFonts w:hint="eastAsia" w:ascii="Times New Roman" w:cs="Times New Roman" w:hAnsiTheme="minorEastAsia"/>
          <w:kern w:val="0"/>
          <w:szCs w:val="21"/>
        </w:rPr>
        <w:t>2、</w:t>
      </w:r>
      <w:r>
        <w:rPr>
          <w:rFonts w:hint="eastAsia" w:ascii="Times New Roman" w:cs="Times New Roman" w:hAnsiTheme="minorEastAsia"/>
          <w:kern w:val="0"/>
          <w:szCs w:val="21"/>
          <w:lang w:val="en-US" w:eastAsia="zh-CN"/>
        </w:rPr>
        <w:t>学习平台费：10000元</w:t>
      </w:r>
      <w:r>
        <w:rPr>
          <w:rFonts w:ascii="Times New Roman" w:cs="Times New Roman" w:hAnsiTheme="minorEastAsia"/>
          <w:kern w:val="0"/>
          <w:szCs w:val="21"/>
        </w:rPr>
        <w:t>；</w:t>
      </w:r>
    </w:p>
    <w:p w14:paraId="1EEA3A16">
      <w:pPr>
        <w:widowControl/>
        <w:spacing w:line="360" w:lineRule="auto"/>
        <w:jc w:val="left"/>
        <w:rPr>
          <w:rFonts w:ascii="Times New Roman" w:cs="Times New Roman" w:hAnsiTheme="minorEastAsia"/>
          <w:kern w:val="0"/>
          <w:szCs w:val="21"/>
        </w:rPr>
      </w:pPr>
      <w:r>
        <w:rPr>
          <w:rFonts w:hint="eastAsia" w:ascii="Times New Roman" w:cs="Times New Roman" w:hAnsiTheme="minorEastAsia"/>
          <w:kern w:val="0"/>
          <w:szCs w:val="21"/>
        </w:rPr>
        <w:t>3、</w:t>
      </w:r>
      <w:r>
        <w:rPr>
          <w:rFonts w:ascii="Times New Roman" w:cs="Times New Roman" w:hAnsiTheme="minorEastAsia"/>
          <w:kern w:val="0"/>
          <w:szCs w:val="21"/>
        </w:rPr>
        <w:t>论文答辩费8000元</w:t>
      </w:r>
      <w:r>
        <w:rPr>
          <w:rFonts w:hint="eastAsia" w:ascii="Times New Roman" w:cs="Times New Roman" w:hAnsiTheme="minorEastAsia"/>
          <w:kern w:val="0"/>
          <w:szCs w:val="21"/>
        </w:rPr>
        <w:t>（根据当年申请硕士学位的标准收取，包含论文指导费、答辩费）。</w:t>
      </w:r>
    </w:p>
    <w:p w14:paraId="7457FFA8">
      <w:pPr>
        <w:rPr>
          <w:rFonts w:ascii="Times New Roman" w:cs="Times New Roman" w:hAnsiTheme="minorEastAsia"/>
          <w:b/>
          <w:bCs/>
          <w:color w:val="000000"/>
          <w:kern w:val="0"/>
          <w:sz w:val="24"/>
        </w:rPr>
      </w:pPr>
    </w:p>
    <w:p w14:paraId="5150C0E5">
      <w:pPr>
        <w:rPr>
          <w:rFonts w:ascii="Times New Roman" w:cs="Times New Roman" w:hAnsiTheme="minorEastAsia"/>
          <w:b/>
          <w:bCs/>
          <w:color w:val="000000"/>
          <w:kern w:val="0"/>
          <w:sz w:val="24"/>
        </w:rPr>
      </w:pPr>
    </w:p>
    <w:p w14:paraId="3A42DD66">
      <w:pPr>
        <w:numPr>
          <w:ilvl w:val="0"/>
          <w:numId w:val="1"/>
        </w:numPr>
        <w:rPr>
          <w:rFonts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证书颁发</w:t>
      </w:r>
    </w:p>
    <w:p w14:paraId="2E12E5E3">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学员修完所申请专业培养方案规定的课程，且考试成绩合格者，可获得由西北师范大学颁发的项目结业证书或成绩证明；</w:t>
      </w:r>
    </w:p>
    <w:p w14:paraId="6B39C12E">
      <w:pPr>
        <w:widowControl/>
        <w:spacing w:line="360" w:lineRule="auto"/>
        <w:jc w:val="left"/>
        <w:rPr>
          <w:rFonts w:ascii="Times New Roman" w:hAnsi="Times New Roman" w:cs="Times New Roman"/>
          <w:kern w:val="0"/>
          <w:szCs w:val="21"/>
        </w:rPr>
      </w:pPr>
      <w:r>
        <w:rPr>
          <w:rFonts w:hint="eastAsia" w:ascii="Times New Roman" w:cs="Times New Roman" w:hAnsiTheme="minorEastAsia"/>
          <w:szCs w:val="21"/>
        </w:rPr>
        <w:t>2、</w:t>
      </w:r>
      <w:r>
        <w:rPr>
          <w:rFonts w:ascii="Times New Roman" w:cs="Times New Roman" w:hAnsiTheme="minorEastAsia"/>
          <w:szCs w:val="21"/>
        </w:rPr>
        <w:t>符合条件的学员，可以按照《国务院学位委员会关于授予具有研究生毕业同等学力人员硕士、博士学位的规定》和《西北师范大学授予具有研究生毕业同等学力人员硕士学位工作管理办法》申请</w:t>
      </w:r>
      <w:r>
        <w:rPr>
          <w:rFonts w:ascii="Times New Roman" w:hAnsi="Times New Roman" w:cs="Times New Roman"/>
          <w:szCs w:val="21"/>
        </w:rPr>
        <w:t>“</w:t>
      </w:r>
      <w:r>
        <w:rPr>
          <w:rFonts w:ascii="Times New Roman" w:cs="Times New Roman" w:hAnsiTheme="minorEastAsia"/>
          <w:szCs w:val="21"/>
        </w:rPr>
        <w:t>同等学力申硕</w:t>
      </w:r>
      <w:r>
        <w:rPr>
          <w:rFonts w:ascii="Times New Roman" w:hAnsi="Times New Roman" w:cs="Times New Roman"/>
          <w:szCs w:val="21"/>
        </w:rPr>
        <w:t>”</w:t>
      </w:r>
      <w:r>
        <w:rPr>
          <w:rFonts w:ascii="Times New Roman" w:cs="Times New Roman" w:hAnsiTheme="minorEastAsia"/>
          <w:szCs w:val="21"/>
        </w:rPr>
        <w:t>。</w:t>
      </w:r>
    </w:p>
    <w:p w14:paraId="777CE9FA">
      <w:pPr>
        <w:rPr>
          <w:rFonts w:ascii="Times New Roman" w:cs="Times New Roman" w:hAnsiTheme="minorEastAsia"/>
          <w:b/>
          <w:bCs/>
          <w:color w:val="000000"/>
          <w:kern w:val="0"/>
          <w:sz w:val="24"/>
        </w:rPr>
      </w:pPr>
    </w:p>
    <w:p w14:paraId="0F8F6D8E">
      <w:pPr>
        <w:rPr>
          <w:rFonts w:ascii="Times New Roman" w:cs="Times New Roman" w:hAnsiTheme="minorEastAsia"/>
          <w:b/>
          <w:bCs/>
          <w:color w:val="000000"/>
          <w:kern w:val="0"/>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C62E">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41290"/>
          <wp:effectExtent l="0" t="0" r="2540" b="16510"/>
          <wp:wrapNone/>
          <wp:docPr id="3" name="WordPictureWatermark1298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2989" descr="LOGO"/>
                  <pic:cNvPicPr>
                    <a:picLocks noChangeAspect="1"/>
                  </pic:cNvPicPr>
                </pic:nvPicPr>
                <pic:blipFill>
                  <a:blip r:embed="rId1">
                    <a:lum bright="69998" contrast="-70001"/>
                  </a:blip>
                  <a:stretch>
                    <a:fillRect/>
                  </a:stretch>
                </pic:blipFill>
                <pic:spPr>
                  <a:xfrm>
                    <a:off x="0" y="0"/>
                    <a:ext cx="5274310" cy="52412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773E0"/>
    <w:multiLevelType w:val="singleLevel"/>
    <w:tmpl w:val="2A2773E0"/>
    <w:lvl w:ilvl="0" w:tentative="0">
      <w:start w:val="1"/>
      <w:numFmt w:val="chineseCounting"/>
      <w:suff w:val="nothing"/>
      <w:lvlText w:val="%1、"/>
      <w:lvlJc w:val="left"/>
      <w:rPr>
        <w:rFonts w:hint="eastAsia"/>
      </w:rPr>
    </w:lvl>
  </w:abstractNum>
  <w:abstractNum w:abstractNumId="1">
    <w:nsid w:val="55D36937"/>
    <w:multiLevelType w:val="singleLevel"/>
    <w:tmpl w:val="55D36937"/>
    <w:lvl w:ilvl="0" w:tentative="0">
      <w:start w:val="1"/>
      <w:numFmt w:val="decimal"/>
      <w:suff w:val="space"/>
      <w:lvlText w:val="%1、"/>
      <w:lvlJc w:val="left"/>
    </w:lvl>
  </w:abstractNum>
  <w:abstractNum w:abstractNumId="2">
    <w:nsid w:val="598E6194"/>
    <w:multiLevelType w:val="multilevel"/>
    <w:tmpl w:val="598E619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B97C0D"/>
    <w:rsid w:val="00A60489"/>
    <w:rsid w:val="00B41B1E"/>
    <w:rsid w:val="00B81AAA"/>
    <w:rsid w:val="068F1F39"/>
    <w:rsid w:val="08B12DBD"/>
    <w:rsid w:val="0EA222EC"/>
    <w:rsid w:val="114415F3"/>
    <w:rsid w:val="13C75FE1"/>
    <w:rsid w:val="15033573"/>
    <w:rsid w:val="2A093306"/>
    <w:rsid w:val="33285260"/>
    <w:rsid w:val="4D4A376D"/>
    <w:rsid w:val="51E00706"/>
    <w:rsid w:val="5A597610"/>
    <w:rsid w:val="63D919B7"/>
    <w:rsid w:val="65D3045E"/>
    <w:rsid w:val="75B97C0D"/>
    <w:rsid w:val="767B1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Balloon Text"/>
    <w:basedOn w:val="1"/>
    <w:link w:val="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批注框文本 Char"/>
    <w:basedOn w:val="7"/>
    <w:link w:val="3"/>
    <w:qFormat/>
    <w:uiPriority w:val="0"/>
    <w:rPr>
      <w:rFonts w:asciiTheme="minorHAnsi" w:hAnsiTheme="minorHAnsi" w:eastAsiaTheme="minorEastAsia" w:cstheme="minorBidi"/>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2032</Words>
  <Characters>2075</Characters>
  <Lines>15</Lines>
  <Paragraphs>4</Paragraphs>
  <TotalTime>4</TotalTime>
  <ScaleCrop>false</ScaleCrop>
  <LinksUpToDate>false</LinksUpToDate>
  <CharactersWithSpaces>2082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2021-06-11T02:45:00Z</dcterms:created>
  <dc:creator>读研MBA-言言</dc:creator>
  <cp:lastModifiedBy>Administrator</cp:lastModifiedBy>
  <dcterms:modified xsi:type="dcterms:W3CDTF">2026-01-16T03:34:51Z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eyJoZGlkIjoiMjJkYmYyOGQwNjU2YTFjYjBlYWQzZDdlZjc2Nzk1ZWYifQ==</vt:lpwstr>
  </property>
  <property fmtid="{D5CDD505-2E9C-101B-9397-08002B2CF9AE}" pid="4" name="ICV">
    <vt:lpwstr>F7926004667E4257A52DBDB1F3FB5CDC_12</vt:lpwstr>
  </property>
</Properties>
</file>