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F3C898">
      <w:pPr>
        <w:keepNext w:val="0"/>
        <w:keepLines w:val="0"/>
        <w:pageBreakBefore w:val="0"/>
        <w:widowControl w:val="0"/>
        <w:kinsoku/>
        <w:wordWrap/>
        <w:overflowPunct/>
        <w:topLinePunct w:val="0"/>
        <w:autoSpaceDE/>
        <w:autoSpaceDN/>
        <w:bidi w:val="0"/>
        <w:adjustRightInd/>
        <w:snapToGrid/>
        <w:spacing w:before="625" w:beforeLines="200" w:after="313" w:afterLines="100" w:line="240" w:lineRule="exact"/>
        <w:jc w:val="center"/>
        <w:textAlignment w:val="auto"/>
        <w:rPr>
          <w:rFonts w:hint="eastAsia" w:ascii="微软雅黑" w:hAnsi="微软雅黑" w:eastAsia="微软雅黑" w:cs="微软雅黑"/>
          <w:b/>
          <w:bCs/>
          <w:color w:val="840000"/>
          <w:sz w:val="40"/>
          <w:szCs w:val="40"/>
        </w:rPr>
      </w:pPr>
      <w:r>
        <w:rPr>
          <w:rFonts w:hint="eastAsia" w:ascii="微软雅黑" w:hAnsi="微软雅黑" w:eastAsia="微软雅黑" w:cs="微软雅黑"/>
          <w:b/>
          <w:bCs/>
          <w:color w:val="840000"/>
          <w:sz w:val="40"/>
          <w:szCs w:val="40"/>
        </w:rPr>
        <w:t>西北师范大学</w:t>
      </w:r>
      <w:r>
        <w:rPr>
          <w:rFonts w:hint="eastAsia" w:ascii="微软雅黑" w:hAnsi="微软雅黑" w:eastAsia="微软雅黑" w:cs="微软雅黑"/>
          <w:b/>
          <w:bCs/>
          <w:color w:val="840000"/>
          <w:sz w:val="40"/>
          <w:szCs w:val="40"/>
          <w:lang w:val="en-US" w:eastAsia="zh-CN"/>
        </w:rPr>
        <w:t>同等学力申硕</w:t>
      </w:r>
      <w:r>
        <w:rPr>
          <w:rFonts w:hint="eastAsia" w:ascii="微软雅黑" w:hAnsi="微软雅黑" w:eastAsia="微软雅黑" w:cs="微软雅黑"/>
          <w:b/>
          <w:i w:val="0"/>
          <w:caps w:val="0"/>
          <w:color w:val="840000"/>
          <w:spacing w:val="0"/>
          <w:sz w:val="40"/>
          <w:szCs w:val="40"/>
          <w:shd w:val="clear" w:color="auto" w:fill="FFFFFF"/>
          <w:lang w:val="en-US" w:eastAsia="zh-CN"/>
        </w:rPr>
        <w:t>金融学</w:t>
      </w:r>
      <w:r>
        <w:rPr>
          <w:rFonts w:hint="eastAsia" w:ascii="微软雅黑" w:hAnsi="微软雅黑" w:eastAsia="微软雅黑" w:cs="微软雅黑"/>
          <w:b/>
          <w:bCs/>
          <w:color w:val="840000"/>
          <w:sz w:val="40"/>
          <w:szCs w:val="40"/>
        </w:rPr>
        <w:t>专业</w:t>
      </w:r>
    </w:p>
    <w:p w14:paraId="7DA346C7">
      <w:pPr>
        <w:keepNext w:val="0"/>
        <w:keepLines w:val="0"/>
        <w:pageBreakBefore w:val="0"/>
        <w:widowControl w:val="0"/>
        <w:kinsoku/>
        <w:wordWrap/>
        <w:overflowPunct/>
        <w:topLinePunct w:val="0"/>
        <w:autoSpaceDE/>
        <w:autoSpaceDN/>
        <w:bidi w:val="0"/>
        <w:adjustRightInd/>
        <w:snapToGrid/>
        <w:spacing w:before="625" w:beforeLines="200" w:after="313" w:afterLines="100" w:line="240" w:lineRule="exact"/>
        <w:jc w:val="center"/>
        <w:textAlignment w:val="auto"/>
        <w:rPr>
          <w:rFonts w:hint="eastAsia" w:ascii="微软雅黑" w:hAnsi="微软雅黑" w:eastAsia="微软雅黑" w:cs="微软雅黑"/>
          <w:b/>
          <w:bCs/>
          <w:color w:val="840000"/>
          <w:sz w:val="40"/>
          <w:szCs w:val="40"/>
        </w:rPr>
      </w:pPr>
      <w:r>
        <w:rPr>
          <w:rFonts w:hint="eastAsia" w:ascii="微软雅黑" w:hAnsi="微软雅黑" w:eastAsia="微软雅黑" w:cs="微软雅黑"/>
          <w:b/>
          <w:bCs/>
          <w:color w:val="840000"/>
          <w:sz w:val="40"/>
          <w:szCs w:val="40"/>
        </w:rPr>
        <w:t>招生简章</w:t>
      </w:r>
    </w:p>
    <w:p w14:paraId="30653AD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b/>
          <w:bCs/>
          <w:sz w:val="24"/>
          <w:szCs w:val="24"/>
        </w:rPr>
        <w:t>一、学科概况</w:t>
      </w:r>
    </w:p>
    <w:p w14:paraId="19EAF136">
      <w:pPr>
        <w:pStyle w:val="3"/>
        <w:keepNext w:val="0"/>
        <w:keepLines w:val="0"/>
        <w:pageBreakBefore w:val="0"/>
        <w:widowControl w:val="0"/>
        <w:kinsoku/>
        <w:wordWrap/>
        <w:overflowPunct/>
        <w:topLinePunct w:val="0"/>
        <w:autoSpaceDE/>
        <w:autoSpaceDN/>
        <w:bidi w:val="0"/>
        <w:adjustRightInd/>
        <w:snapToGrid/>
        <w:spacing w:line="500" w:lineRule="exact"/>
        <w:ind w:left="-178" w:leftChars="-85" w:firstLine="420" w:firstLineChars="200"/>
        <w:textAlignment w:val="auto"/>
        <w:rPr>
          <w:rFonts w:hint="eastAsia" w:ascii="宋体" w:hAnsi="宋体" w:eastAsia="宋体" w:cs="宋体"/>
          <w:color w:val="000000" w:themeColor="text1"/>
          <w:kern w:val="24"/>
          <w:sz w:val="21"/>
          <w:szCs w:val="21"/>
          <w14:textFill>
            <w14:solidFill>
              <w14:schemeClr w14:val="tx1"/>
            </w14:solidFill>
          </w14:textFill>
        </w:rPr>
      </w:pPr>
      <w:r>
        <w:rPr>
          <w:rFonts w:hint="eastAsia" w:ascii="宋体" w:hAnsi="宋体" w:eastAsia="宋体" w:cs="宋体"/>
          <w:color w:val="000000" w:themeColor="text1"/>
          <w:kern w:val="24"/>
          <w:sz w:val="21"/>
          <w:szCs w:val="21"/>
          <w14:textFill>
            <w14:solidFill>
              <w14:schemeClr w14:val="tx1"/>
            </w14:solidFill>
          </w14:textFill>
        </w:rPr>
        <w:t>应用经济学是运用经济学原理和分析方法，研究经济活动各相关领域的理论、运用机制和规律，对非经济活动领域的经济效益与社会效益进行分析和评价的学科，具有理论联系实际、应用性强，直接服务社会经济建设的特点。我校应用经济学为省级重点学科，具有应用经济学一级学科硕士学位授予权，下设财政学、金融学、区域经济学、产业经济学、国际贸易学、数量经济学、经济统计学等7个二级学科授权点，在区域产业理论与实践、统计核算及数量经济分析、地方财政运行、区域金融发展研究等方面积累了丰富的研究成果。目前与理论经济学省级重点学科互补，逐步形成了具有地方特色与专业优势的学科体系，研究方向具有区域性、民族性、实践性特色，在西部地区享有一定声誉。</w:t>
      </w:r>
    </w:p>
    <w:p w14:paraId="085A1F95">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500" w:lineRule="exact"/>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二、培养目标</w:t>
      </w:r>
    </w:p>
    <w:p w14:paraId="150A9AC8">
      <w:pPr>
        <w:pStyle w:val="3"/>
        <w:keepNext w:val="0"/>
        <w:keepLines w:val="0"/>
        <w:pageBreakBefore w:val="0"/>
        <w:widowControl w:val="0"/>
        <w:kinsoku/>
        <w:wordWrap/>
        <w:overflowPunct/>
        <w:topLinePunct w:val="0"/>
        <w:autoSpaceDE/>
        <w:autoSpaceDN/>
        <w:bidi w:val="0"/>
        <w:adjustRightInd/>
        <w:snapToGrid/>
        <w:spacing w:line="500" w:lineRule="exact"/>
        <w:ind w:left="-178" w:leftChars="-85" w:firstLine="426" w:firstLineChars="203"/>
        <w:textAlignment w:val="auto"/>
        <w:rPr>
          <w:rFonts w:hint="eastAsia" w:ascii="宋体" w:hAnsi="宋体" w:eastAsia="宋体" w:cs="宋体"/>
          <w:color w:val="000000" w:themeColor="text1"/>
          <w:kern w:val="24"/>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西北师范大学工商管理学术学位硕士研究生培养以德育为先、能力为重、素质为本，适应市场经济和社会发展需要，具有深厚经济和管理理论基础，系统掌握管理技能与方法，具备国际化视野、创新与思辨精神和社会责任感，能够在政府部门、科研机构、院</w:t>
      </w:r>
      <w:r>
        <w:rPr>
          <w:rFonts w:hint="eastAsia" w:ascii="宋体" w:hAnsi="宋体" w:eastAsia="宋体" w:cs="宋体"/>
          <w:color w:val="000000" w:themeColor="text1"/>
          <w:spacing w:val="-6"/>
          <w:sz w:val="21"/>
          <w:szCs w:val="21"/>
          <w14:textFill>
            <w14:solidFill>
              <w14:schemeClr w14:val="tx1"/>
            </w14:solidFill>
          </w14:textFill>
        </w:rPr>
        <w:t>校及企事业单位从事管理、研究、策划工作的社会主义建设事业所需的高级管理专门人才。</w:t>
      </w:r>
      <w:r>
        <w:rPr>
          <w:rFonts w:hint="eastAsia" w:ascii="宋体" w:hAnsi="宋体" w:eastAsia="宋体" w:cs="宋体"/>
          <w:color w:val="000000" w:themeColor="text1"/>
          <w:kern w:val="24"/>
          <w:sz w:val="21"/>
          <w:szCs w:val="21"/>
          <w14:textFill>
            <w14:solidFill>
              <w14:schemeClr w14:val="tx1"/>
            </w14:solidFill>
          </w14:textFill>
        </w:rPr>
        <w:t>本学科致力于培养具有严谨求实的学术作风，具备全面、扎实的经济学基础理论与专业知识，掌握本专业领域的基础研究成果，具备学术研究的基本能力；能够针对现实经济问题进行调查研究、设计方案、构建模型、实证检验，并具有继续学习、创新、提高的基础和能力；较为熟练地掌握一门外语并能阅读本学科的外文资料；可承担本学科的教学、科研工作和中高层次的经济管理工作；具有健康的心理和体魄。</w:t>
      </w:r>
    </w:p>
    <w:p w14:paraId="2AC94C10">
      <w:pPr>
        <w:pStyle w:val="3"/>
        <w:keepNext w:val="0"/>
        <w:keepLines w:val="0"/>
        <w:pageBreakBefore w:val="0"/>
        <w:kinsoku/>
        <w:wordWrap/>
        <w:overflowPunct/>
        <w:topLinePunct w:val="0"/>
        <w:autoSpaceDE/>
        <w:autoSpaceDN/>
        <w:bidi w:val="0"/>
        <w:adjustRightInd/>
        <w:snapToGrid/>
        <w:spacing w:line="500" w:lineRule="exact"/>
        <w:ind w:left="-178" w:leftChars="-85" w:firstLine="426" w:firstLineChars="203"/>
        <w:textAlignment w:val="auto"/>
        <w:rPr>
          <w:rFonts w:hint="eastAsia" w:ascii="宋体" w:hAnsi="宋体" w:eastAsia="宋体" w:cs="宋体"/>
          <w:color w:val="000000" w:themeColor="text1"/>
          <w:kern w:val="24"/>
          <w:sz w:val="21"/>
          <w:szCs w:val="21"/>
          <w14:textFill>
            <w14:solidFill>
              <w14:schemeClr w14:val="tx1"/>
            </w14:solidFill>
          </w14:textFill>
        </w:rPr>
      </w:pPr>
      <w:r>
        <w:rPr>
          <w:rFonts w:hint="eastAsia" w:ascii="宋体" w:hAnsi="宋体" w:eastAsia="宋体" w:cs="宋体"/>
          <w:color w:val="000000" w:themeColor="text1"/>
          <w:kern w:val="24"/>
          <w:sz w:val="21"/>
          <w:szCs w:val="21"/>
          <w14:textFill>
            <w14:solidFill>
              <w14:schemeClr w14:val="tx1"/>
            </w14:solidFill>
          </w14:textFill>
        </w:rPr>
        <w:t>具体要求如下：</w:t>
      </w:r>
    </w:p>
    <w:p w14:paraId="689B0E14">
      <w:pPr>
        <w:pStyle w:val="3"/>
        <w:keepNext w:val="0"/>
        <w:keepLines w:val="0"/>
        <w:pageBreakBefore w:val="0"/>
        <w:kinsoku/>
        <w:wordWrap/>
        <w:overflowPunct/>
        <w:topLinePunct w:val="0"/>
        <w:autoSpaceDE/>
        <w:autoSpaceDN/>
        <w:bidi w:val="0"/>
        <w:adjustRightInd/>
        <w:snapToGrid/>
        <w:spacing w:line="500" w:lineRule="exact"/>
        <w:ind w:left="-178" w:leftChars="-85" w:firstLine="426" w:firstLineChars="203"/>
        <w:textAlignment w:val="auto"/>
        <w:rPr>
          <w:rFonts w:hint="eastAsia" w:ascii="宋体" w:hAnsi="宋体" w:eastAsia="宋体" w:cs="宋体"/>
          <w:color w:val="000000" w:themeColor="text1"/>
          <w:kern w:val="24"/>
          <w:sz w:val="21"/>
          <w:szCs w:val="21"/>
          <w14:textFill>
            <w14:solidFill>
              <w14:schemeClr w14:val="tx1"/>
            </w14:solidFill>
          </w14:textFill>
        </w:rPr>
      </w:pPr>
      <w:r>
        <w:rPr>
          <w:rFonts w:hint="eastAsia" w:ascii="宋体" w:hAnsi="宋体" w:eastAsia="宋体" w:cs="宋体"/>
          <w:color w:val="000000" w:themeColor="text1"/>
          <w:kern w:val="24"/>
          <w:sz w:val="21"/>
          <w:szCs w:val="21"/>
          <w14:textFill>
            <w14:solidFill>
              <w14:schemeClr w14:val="tx1"/>
            </w14:solidFill>
          </w14:textFill>
        </w:rPr>
        <w:t>1</w:t>
      </w:r>
      <w:r>
        <w:rPr>
          <w:rFonts w:hint="eastAsia" w:ascii="宋体" w:hAnsi="宋体" w:eastAsia="宋体" w:cs="宋体"/>
          <w:color w:val="000000" w:themeColor="text1"/>
          <w:kern w:val="24"/>
          <w:sz w:val="21"/>
          <w:szCs w:val="21"/>
          <w:lang w:eastAsia="zh-CN"/>
          <w14:textFill>
            <w14:solidFill>
              <w14:schemeClr w14:val="tx1"/>
            </w14:solidFill>
          </w14:textFill>
        </w:rPr>
        <w:t>、</w:t>
      </w:r>
      <w:r>
        <w:rPr>
          <w:rFonts w:hint="eastAsia" w:ascii="宋体" w:hAnsi="宋体" w:eastAsia="宋体" w:cs="宋体"/>
          <w:color w:val="000000" w:themeColor="text1"/>
          <w:kern w:val="24"/>
          <w:sz w:val="21"/>
          <w:szCs w:val="21"/>
          <w14:textFill>
            <w14:solidFill>
              <w14:schemeClr w14:val="tx1"/>
            </w14:solidFill>
          </w14:textFill>
        </w:rPr>
        <w:t>具备扎实的应用经济学基础理论知识、相应学科专业基础知识及较为全面先进的专业技术知识。能将理论与实际相结合，进行实证性、对策性分析。</w:t>
      </w:r>
    </w:p>
    <w:p w14:paraId="087B300C">
      <w:pPr>
        <w:pStyle w:val="3"/>
        <w:keepNext w:val="0"/>
        <w:keepLines w:val="0"/>
        <w:pageBreakBefore w:val="0"/>
        <w:kinsoku/>
        <w:wordWrap/>
        <w:overflowPunct/>
        <w:topLinePunct w:val="0"/>
        <w:autoSpaceDE/>
        <w:autoSpaceDN/>
        <w:bidi w:val="0"/>
        <w:adjustRightInd/>
        <w:snapToGrid/>
        <w:spacing w:line="500" w:lineRule="exact"/>
        <w:ind w:left="-178" w:leftChars="-85" w:firstLine="426" w:firstLineChars="203"/>
        <w:textAlignment w:val="auto"/>
        <w:rPr>
          <w:rFonts w:hint="eastAsia" w:ascii="宋体" w:hAnsi="宋体" w:eastAsia="宋体" w:cs="宋体"/>
          <w:color w:val="000000" w:themeColor="text1"/>
          <w:kern w:val="24"/>
          <w:sz w:val="21"/>
          <w:szCs w:val="21"/>
          <w14:textFill>
            <w14:solidFill>
              <w14:schemeClr w14:val="tx1"/>
            </w14:solidFill>
          </w14:textFill>
        </w:rPr>
      </w:pPr>
      <w:r>
        <w:rPr>
          <w:rFonts w:hint="eastAsia" w:ascii="宋体" w:hAnsi="宋体" w:eastAsia="宋体" w:cs="宋体"/>
          <w:color w:val="000000" w:themeColor="text1"/>
          <w:kern w:val="24"/>
          <w:sz w:val="21"/>
          <w:szCs w:val="21"/>
          <w14:textFill>
            <w14:solidFill>
              <w14:schemeClr w14:val="tx1"/>
            </w14:solidFill>
          </w14:textFill>
        </w:rPr>
        <w:t>2</w:t>
      </w:r>
      <w:r>
        <w:rPr>
          <w:rFonts w:hint="eastAsia" w:ascii="宋体" w:hAnsi="宋体" w:eastAsia="宋体" w:cs="宋体"/>
          <w:color w:val="000000" w:themeColor="text1"/>
          <w:kern w:val="24"/>
          <w:sz w:val="21"/>
          <w:szCs w:val="21"/>
          <w:lang w:eastAsia="zh-CN"/>
          <w14:textFill>
            <w14:solidFill>
              <w14:schemeClr w14:val="tx1"/>
            </w14:solidFill>
          </w14:textFill>
        </w:rPr>
        <w:t>、</w:t>
      </w:r>
      <w:r>
        <w:rPr>
          <w:rFonts w:hint="eastAsia" w:ascii="宋体" w:hAnsi="宋体" w:eastAsia="宋体" w:cs="宋体"/>
          <w:color w:val="000000" w:themeColor="text1"/>
          <w:kern w:val="24"/>
          <w:sz w:val="21"/>
          <w:szCs w:val="21"/>
          <w14:textFill>
            <w14:solidFill>
              <w14:schemeClr w14:val="tx1"/>
            </w14:solidFill>
          </w14:textFill>
        </w:rPr>
        <w:t>具有一定的经济学分析方法，了解本学科现状和发展趋势，具备在本学科某一方向从事调查、研究、分析及决策的能力。</w:t>
      </w:r>
    </w:p>
    <w:p w14:paraId="1D8F7F69">
      <w:pPr>
        <w:pStyle w:val="3"/>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24"/>
          <w:sz w:val="21"/>
          <w:szCs w:val="21"/>
          <w14:textFill>
            <w14:solidFill>
              <w14:schemeClr w14:val="tx1"/>
            </w14:solidFill>
          </w14:textFill>
        </w:rPr>
      </w:pPr>
      <w:r>
        <w:rPr>
          <w:rFonts w:hint="eastAsia" w:ascii="宋体" w:hAnsi="宋体" w:eastAsia="宋体" w:cs="宋体"/>
          <w:color w:val="000000" w:themeColor="text1"/>
          <w:kern w:val="24"/>
          <w:sz w:val="21"/>
          <w:szCs w:val="21"/>
          <w14:textFill>
            <w14:solidFill>
              <w14:schemeClr w14:val="tx1"/>
            </w14:solidFill>
          </w14:textFill>
        </w:rPr>
        <w:t>3</w:t>
      </w:r>
      <w:r>
        <w:rPr>
          <w:rFonts w:hint="eastAsia" w:ascii="宋体" w:hAnsi="宋体" w:eastAsia="宋体" w:cs="宋体"/>
          <w:color w:val="000000" w:themeColor="text1"/>
          <w:kern w:val="24"/>
          <w:sz w:val="21"/>
          <w:szCs w:val="21"/>
          <w:lang w:eastAsia="zh-CN"/>
          <w14:textFill>
            <w14:solidFill>
              <w14:schemeClr w14:val="tx1"/>
            </w14:solidFill>
          </w14:textFill>
        </w:rPr>
        <w:t>、</w:t>
      </w:r>
      <w:r>
        <w:rPr>
          <w:rFonts w:hint="eastAsia" w:ascii="宋体" w:hAnsi="宋体" w:eastAsia="宋体" w:cs="宋体"/>
          <w:color w:val="000000" w:themeColor="text1"/>
          <w:kern w:val="24"/>
          <w:sz w:val="21"/>
          <w:szCs w:val="21"/>
          <w14:textFill>
            <w14:solidFill>
              <w14:schemeClr w14:val="tx1"/>
            </w14:solidFill>
          </w14:textFill>
        </w:rPr>
        <w:t>具有较强的语言与文字表达、人际沟通和解决实际经济问题的能力。</w:t>
      </w:r>
    </w:p>
    <w:p w14:paraId="5CF9D6EC">
      <w:pPr>
        <w:pStyle w:val="3"/>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color w:val="000000" w:themeColor="text1"/>
          <w:kern w:val="24"/>
          <w:sz w:val="21"/>
          <w:szCs w:val="21"/>
          <w14:textFill>
            <w14:solidFill>
              <w14:schemeClr w14:val="tx1"/>
            </w14:solidFill>
          </w14:textFill>
        </w:rPr>
        <w:t>4</w:t>
      </w:r>
      <w:r>
        <w:rPr>
          <w:rFonts w:hint="eastAsia" w:ascii="宋体" w:hAnsi="宋体" w:eastAsia="宋体" w:cs="宋体"/>
          <w:color w:val="000000" w:themeColor="text1"/>
          <w:kern w:val="24"/>
          <w:sz w:val="21"/>
          <w:szCs w:val="21"/>
          <w:lang w:eastAsia="zh-CN"/>
          <w14:textFill>
            <w14:solidFill>
              <w14:schemeClr w14:val="tx1"/>
            </w14:solidFill>
          </w14:textFill>
        </w:rPr>
        <w:t>、</w:t>
      </w:r>
      <w:r>
        <w:rPr>
          <w:rFonts w:hint="eastAsia" w:ascii="宋体" w:hAnsi="宋体" w:eastAsia="宋体" w:cs="宋体"/>
          <w:color w:val="000000" w:themeColor="text1"/>
          <w:kern w:val="24"/>
          <w:sz w:val="21"/>
          <w:szCs w:val="21"/>
          <w14:textFill>
            <w14:solidFill>
              <w14:schemeClr w14:val="tx1"/>
            </w14:solidFill>
          </w14:textFill>
        </w:rPr>
        <w:t>掌握查阅年报、文献、资料的基本方法，具备阅读、翻译外文文献资料的能力，具有一定的听、说、读、写、译的能力。</w:t>
      </w:r>
    </w:p>
    <w:p w14:paraId="511B6476">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三</w:t>
      </w:r>
      <w:r>
        <w:rPr>
          <w:rFonts w:hint="eastAsia" w:ascii="宋体" w:hAnsi="宋体" w:eastAsia="宋体" w:cs="宋体"/>
          <w:b/>
          <w:bCs/>
          <w:sz w:val="21"/>
          <w:szCs w:val="21"/>
        </w:rPr>
        <w:t>、报名条件</w:t>
      </w:r>
    </w:p>
    <w:p w14:paraId="6353CD5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1"/>
          <w:szCs w:val="21"/>
        </w:rPr>
      </w:pPr>
      <w:r>
        <w:rPr>
          <w:rFonts w:hint="eastAsia" w:ascii="宋体" w:hAnsi="宋体" w:eastAsia="宋体" w:cs="宋体"/>
          <w:sz w:val="21"/>
          <w:szCs w:val="21"/>
        </w:rPr>
        <w:t>（1）拥护《中华人民共和国宪法》,遵守法律、法规，品行端正。</w:t>
      </w:r>
    </w:p>
    <w:p w14:paraId="25AC5678">
      <w:pPr>
        <w:keepNext w:val="0"/>
        <w:keepLines w:val="0"/>
        <w:pageBreakBefore w:val="0"/>
        <w:widowControl w:val="0"/>
        <w:kinsoku/>
        <w:wordWrap/>
        <w:overflowPunct/>
        <w:topLinePunct w:val="0"/>
        <w:autoSpaceDE/>
        <w:autoSpaceDN/>
        <w:bidi w:val="0"/>
        <w:adjustRightInd/>
        <w:snapToGrid/>
        <w:spacing w:line="500" w:lineRule="exact"/>
        <w:ind w:left="480" w:hanging="420" w:hangingChars="200"/>
        <w:jc w:val="left"/>
        <w:textAlignment w:val="auto"/>
        <w:rPr>
          <w:rFonts w:hint="eastAsia" w:ascii="宋体" w:hAnsi="宋体" w:eastAsia="宋体" w:cs="宋体"/>
          <w:sz w:val="21"/>
          <w:szCs w:val="21"/>
        </w:rPr>
      </w:pPr>
      <w:r>
        <w:rPr>
          <w:rFonts w:hint="eastAsia" w:ascii="宋体" w:hAnsi="宋体" w:eastAsia="宋体" w:cs="宋体"/>
          <w:sz w:val="21"/>
          <w:szCs w:val="21"/>
        </w:rPr>
        <w:t>（2）具有大学本科学历，获得学士学位，并获得学士学位后工作三年以上（含三年），或虽无学士学位但已获得硕士或博士学位者。对已获得的学士、硕士或博士学位为国（境）外学位的，其所获的国（境）外学位需经教育部留学服务中心认证。</w:t>
      </w:r>
    </w:p>
    <w:p w14:paraId="0FF116B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1"/>
          <w:szCs w:val="21"/>
        </w:rPr>
      </w:pPr>
      <w:r>
        <w:rPr>
          <w:rFonts w:hint="eastAsia" w:ascii="宋体" w:hAnsi="宋体" w:eastAsia="宋体" w:cs="宋体"/>
          <w:sz w:val="21"/>
          <w:szCs w:val="21"/>
        </w:rPr>
        <w:t>（3）有一定专业基础，在教学、科研、专门技术、管理等方面做出成绩。</w:t>
      </w:r>
    </w:p>
    <w:p w14:paraId="419961E6">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四</w:t>
      </w:r>
      <w:r>
        <w:rPr>
          <w:rFonts w:hint="eastAsia" w:ascii="宋体" w:hAnsi="宋体" w:eastAsia="宋体" w:cs="宋体"/>
          <w:b/>
          <w:bCs/>
          <w:sz w:val="21"/>
          <w:szCs w:val="21"/>
        </w:rPr>
        <w:t>、报名</w:t>
      </w:r>
      <w:r>
        <w:rPr>
          <w:rFonts w:hint="eastAsia" w:ascii="宋体" w:hAnsi="宋体" w:eastAsia="宋体" w:cs="宋体"/>
          <w:b/>
          <w:bCs/>
          <w:sz w:val="21"/>
          <w:szCs w:val="21"/>
          <w:lang w:val="en-US" w:eastAsia="zh-CN"/>
        </w:rPr>
        <w:t>方式</w:t>
      </w:r>
    </w:p>
    <w:p w14:paraId="51DE704B">
      <w:pPr>
        <w:keepNext w:val="0"/>
        <w:keepLines w:val="0"/>
        <w:pageBreakBefore w:val="0"/>
        <w:widowControl w:val="0"/>
        <w:kinsoku/>
        <w:wordWrap/>
        <w:overflowPunct/>
        <w:topLinePunct w:val="0"/>
        <w:autoSpaceDE/>
        <w:autoSpaceDN/>
        <w:bidi w:val="0"/>
        <w:adjustRightInd/>
        <w:snapToGrid/>
        <w:spacing w:line="500" w:lineRule="exact"/>
        <w:ind w:left="480" w:hanging="420" w:hangingChars="200"/>
        <w:textAlignment w:val="auto"/>
        <w:rPr>
          <w:rFonts w:hint="eastAsia" w:ascii="宋体" w:hAnsi="宋体" w:eastAsia="宋体" w:cs="宋体"/>
          <w:sz w:val="21"/>
          <w:szCs w:val="21"/>
        </w:rPr>
      </w:pPr>
      <w:r>
        <w:rPr>
          <w:rFonts w:hint="eastAsia" w:ascii="宋体" w:hAnsi="宋体" w:eastAsia="宋体" w:cs="宋体"/>
          <w:sz w:val="21"/>
          <w:szCs w:val="21"/>
        </w:rPr>
        <w:t>（1）报名需提交本人身份证、学位证书、毕业证书原件扫描件、电子照片（必须是蓝底照片）。报名截止时间以西北师范大学通知为准。</w:t>
      </w:r>
    </w:p>
    <w:p w14:paraId="76BAEA2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1"/>
          <w:szCs w:val="21"/>
        </w:rPr>
      </w:pPr>
      <w:r>
        <w:rPr>
          <w:rFonts w:hint="eastAsia" w:ascii="宋体" w:hAnsi="宋体" w:eastAsia="宋体" w:cs="宋体"/>
          <w:sz w:val="21"/>
          <w:szCs w:val="21"/>
        </w:rPr>
        <w:t>（2）经我校审查报名资格通过后，无需参加入学考试，即可参加我校课程学习。</w:t>
      </w:r>
    </w:p>
    <w:p w14:paraId="31797C57">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五</w:t>
      </w:r>
      <w:r>
        <w:rPr>
          <w:rFonts w:hint="eastAsia" w:ascii="宋体" w:hAnsi="宋体" w:eastAsia="宋体" w:cs="宋体"/>
          <w:b/>
          <w:bCs/>
          <w:sz w:val="21"/>
          <w:szCs w:val="21"/>
        </w:rPr>
        <w:t>、专业优势</w:t>
      </w:r>
    </w:p>
    <w:p w14:paraId="0473D21A">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【免试入学可申硕】学员达报考条件即可免试入学，满足申硕要求即可申硕考试，边学边</w:t>
      </w:r>
      <w:r>
        <w:rPr>
          <w:rFonts w:hint="eastAsia" w:ascii="宋体" w:hAnsi="宋体" w:eastAsia="宋体" w:cs="宋体"/>
          <w:sz w:val="21"/>
          <w:szCs w:val="21"/>
          <w:lang w:val="en-US" w:eastAsia="zh-CN"/>
        </w:rPr>
        <w:t>考，符合条件</w:t>
      </w:r>
      <w:r>
        <w:rPr>
          <w:rFonts w:hint="eastAsia" w:ascii="宋体" w:hAnsi="宋体" w:eastAsia="宋体" w:cs="宋体"/>
          <w:sz w:val="21"/>
          <w:szCs w:val="21"/>
        </w:rPr>
        <w:t>者可获取</w:t>
      </w:r>
      <w:r>
        <w:rPr>
          <w:rFonts w:hint="eastAsia" w:ascii="宋体" w:hAnsi="宋体" w:eastAsia="宋体" w:cs="宋体"/>
          <w:sz w:val="21"/>
          <w:szCs w:val="21"/>
          <w:lang w:val="en-US" w:eastAsia="zh-CN"/>
        </w:rPr>
        <w:t>西北师范</w:t>
      </w:r>
      <w:r>
        <w:rPr>
          <w:rFonts w:hint="eastAsia" w:ascii="宋体" w:hAnsi="宋体" w:eastAsia="宋体" w:cs="宋体"/>
          <w:sz w:val="21"/>
          <w:szCs w:val="21"/>
        </w:rPr>
        <w:t>大学硕士学位证书；</w:t>
      </w:r>
    </w:p>
    <w:p w14:paraId="375B5922">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【证书含金量高】学员所获取学位证书学位网可查，证书可用于继续攻读博士学位</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评职称</w:t>
      </w:r>
      <w:r>
        <w:rPr>
          <w:rFonts w:hint="eastAsia" w:ascii="宋体" w:hAnsi="宋体" w:eastAsia="宋体" w:cs="宋体"/>
          <w:sz w:val="21"/>
          <w:szCs w:val="21"/>
        </w:rPr>
        <w:t>以及公务员考试等个人职场提升用途；</w:t>
      </w:r>
    </w:p>
    <w:p w14:paraId="455C2D94">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【学费性价比高】申硕费用低于同类高等院校1-2万元；</w:t>
      </w:r>
    </w:p>
    <w:p w14:paraId="26BF57DC">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【学习方式灵活】全国远程班，学习方式灵活；</w:t>
      </w:r>
    </w:p>
    <w:p w14:paraId="12C37827">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【申硕机会多】学校学制保留6年，达申硕条件即可申请</w:t>
      </w:r>
      <w:r>
        <w:rPr>
          <w:rFonts w:hint="eastAsia" w:ascii="宋体" w:hAnsi="宋体" w:eastAsia="宋体" w:cs="宋体"/>
          <w:sz w:val="21"/>
          <w:szCs w:val="21"/>
          <w:lang w:val="en-US" w:eastAsia="zh-CN"/>
        </w:rPr>
        <w:t>4年内</w:t>
      </w:r>
      <w:r>
        <w:rPr>
          <w:rFonts w:hint="eastAsia" w:ascii="宋体" w:hAnsi="宋体" w:eastAsia="宋体" w:cs="宋体"/>
          <w:sz w:val="21"/>
          <w:szCs w:val="21"/>
        </w:rPr>
        <w:t>每年5月同等学力申硕考试；</w:t>
      </w:r>
    </w:p>
    <w:p w14:paraId="48C827C2">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【申硕通过率高】设申硕考前辅导，360度全方位剖析考纲、考点，提高申硕通过率。</w:t>
      </w:r>
    </w:p>
    <w:p w14:paraId="3E60233F">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rPr>
      </w:pPr>
    </w:p>
    <w:p w14:paraId="7EAC0B14">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六</w:t>
      </w:r>
      <w:r>
        <w:rPr>
          <w:rFonts w:hint="eastAsia" w:ascii="宋体" w:hAnsi="宋体" w:eastAsia="宋体" w:cs="宋体"/>
          <w:b/>
          <w:bCs/>
          <w:sz w:val="21"/>
          <w:szCs w:val="21"/>
        </w:rPr>
        <w:t>、课程学习</w:t>
      </w:r>
    </w:p>
    <w:p w14:paraId="3821EED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1"/>
          <w:szCs w:val="21"/>
        </w:rPr>
      </w:pPr>
      <w:r>
        <w:rPr>
          <w:rFonts w:hint="eastAsia" w:ascii="宋体" w:hAnsi="宋体" w:eastAsia="宋体" w:cs="宋体"/>
          <w:sz w:val="21"/>
          <w:szCs w:val="21"/>
        </w:rPr>
        <w:t>（1）学习方式：采取在职不脱产的</w:t>
      </w:r>
      <w:r>
        <w:rPr>
          <w:rFonts w:hint="eastAsia" w:ascii="宋体" w:hAnsi="宋体" w:eastAsia="宋体" w:cs="宋体"/>
          <w:sz w:val="21"/>
          <w:szCs w:val="21"/>
          <w:lang w:eastAsia="zh-CN"/>
        </w:rPr>
        <w:t>网络</w:t>
      </w:r>
      <w:r>
        <w:rPr>
          <w:rFonts w:hint="eastAsia" w:ascii="宋体" w:hAnsi="宋体" w:eastAsia="宋体" w:cs="宋体"/>
          <w:sz w:val="21"/>
          <w:szCs w:val="21"/>
        </w:rPr>
        <w:t>学习方式。</w:t>
      </w:r>
    </w:p>
    <w:p w14:paraId="3B8F3D0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1"/>
          <w:szCs w:val="21"/>
        </w:rPr>
      </w:pPr>
      <w:r>
        <w:rPr>
          <w:rFonts w:hint="eastAsia" w:ascii="宋体" w:hAnsi="宋体" w:eastAsia="宋体" w:cs="宋体"/>
          <w:sz w:val="21"/>
          <w:szCs w:val="21"/>
        </w:rPr>
        <w:t>（2）学习时间：寒假、暑假期间或周末集中</w:t>
      </w:r>
      <w:r>
        <w:rPr>
          <w:rFonts w:hint="eastAsia" w:ascii="宋体" w:hAnsi="宋体" w:eastAsia="宋体" w:cs="宋体"/>
          <w:sz w:val="21"/>
          <w:szCs w:val="21"/>
          <w:lang w:val="en-US" w:eastAsia="zh-CN"/>
        </w:rPr>
        <w:t>线上</w:t>
      </w:r>
      <w:r>
        <w:rPr>
          <w:rFonts w:hint="eastAsia" w:ascii="宋体" w:hAnsi="宋体" w:eastAsia="宋体" w:cs="宋体"/>
          <w:sz w:val="21"/>
          <w:szCs w:val="21"/>
        </w:rPr>
        <w:t>授课。 </w:t>
      </w:r>
    </w:p>
    <w:p w14:paraId="78F61B48">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500" w:lineRule="exact"/>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七、</w:t>
      </w:r>
      <w:r>
        <w:rPr>
          <w:rFonts w:hint="eastAsia" w:ascii="宋体" w:hAnsi="宋体" w:eastAsia="宋体" w:cs="宋体"/>
          <w:b/>
          <w:bCs/>
          <w:sz w:val="21"/>
          <w:szCs w:val="21"/>
        </w:rPr>
        <w:t>课程设置</w:t>
      </w:r>
    </w:p>
    <w:tbl>
      <w:tblPr>
        <w:tblStyle w:val="7"/>
        <w:tblW w:w="7752" w:type="dxa"/>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610"/>
        <w:gridCol w:w="990"/>
        <w:gridCol w:w="3900"/>
        <w:gridCol w:w="645"/>
        <w:gridCol w:w="1607"/>
      </w:tblGrid>
      <w:tr w14:paraId="3A65B72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54" w:hRule="atLeast"/>
          <w:tblCellSpacing w:w="0" w:type="dxa"/>
          <w:jc w:val="center"/>
        </w:trPr>
        <w:tc>
          <w:tcPr>
            <w:tcW w:w="1600" w:type="dxa"/>
            <w:gridSpan w:val="2"/>
            <w:noWrap w:val="0"/>
            <w:vAlign w:val="center"/>
          </w:tcPr>
          <w:p w14:paraId="69A4D8A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jc w:val="center"/>
              <w:textAlignment w:val="auto"/>
              <w:rPr>
                <w:rFonts w:hint="eastAsia" w:ascii="宋体" w:hAnsi="宋体" w:eastAsia="宋体" w:cs="宋体"/>
                <w:sz w:val="21"/>
                <w:szCs w:val="21"/>
              </w:rPr>
            </w:pPr>
            <w:r>
              <w:rPr>
                <w:rStyle w:val="9"/>
                <w:rFonts w:hint="eastAsia" w:ascii="宋体" w:hAnsi="宋体" w:eastAsia="宋体" w:cs="宋体"/>
                <w:sz w:val="21"/>
                <w:szCs w:val="21"/>
              </w:rPr>
              <w:t>课程类别</w:t>
            </w:r>
          </w:p>
        </w:tc>
        <w:tc>
          <w:tcPr>
            <w:tcW w:w="3900" w:type="dxa"/>
            <w:noWrap w:val="0"/>
            <w:vAlign w:val="center"/>
          </w:tcPr>
          <w:p w14:paraId="4241B61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jc w:val="center"/>
              <w:textAlignment w:val="auto"/>
              <w:rPr>
                <w:rFonts w:hint="eastAsia" w:ascii="宋体" w:hAnsi="宋体" w:eastAsia="宋体" w:cs="宋体"/>
                <w:sz w:val="21"/>
                <w:szCs w:val="21"/>
              </w:rPr>
            </w:pPr>
            <w:r>
              <w:rPr>
                <w:rStyle w:val="9"/>
                <w:rFonts w:hint="eastAsia" w:ascii="宋体" w:hAnsi="宋体" w:eastAsia="宋体" w:cs="宋体"/>
                <w:sz w:val="21"/>
                <w:szCs w:val="21"/>
              </w:rPr>
              <w:t>课程名称</w:t>
            </w:r>
          </w:p>
        </w:tc>
        <w:tc>
          <w:tcPr>
            <w:tcW w:w="645" w:type="dxa"/>
            <w:noWrap w:val="0"/>
            <w:vAlign w:val="center"/>
          </w:tcPr>
          <w:p w14:paraId="0F8B05D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jc w:val="center"/>
              <w:textAlignment w:val="auto"/>
              <w:rPr>
                <w:rStyle w:val="9"/>
                <w:rFonts w:hint="eastAsia" w:ascii="宋体" w:hAnsi="宋体" w:eastAsia="宋体" w:cs="宋体"/>
                <w:color w:val="auto"/>
                <w:kern w:val="0"/>
                <w:sz w:val="21"/>
                <w:szCs w:val="21"/>
                <w:lang w:val="en-US" w:eastAsia="zh-CN" w:bidi="ar"/>
              </w:rPr>
            </w:pPr>
            <w:r>
              <w:rPr>
                <w:rStyle w:val="9"/>
                <w:rFonts w:hint="eastAsia" w:ascii="宋体" w:hAnsi="宋体" w:eastAsia="宋体" w:cs="宋体"/>
                <w:color w:val="auto"/>
                <w:kern w:val="0"/>
                <w:sz w:val="21"/>
                <w:szCs w:val="21"/>
                <w:lang w:val="en-US" w:eastAsia="zh-CN" w:bidi="ar"/>
              </w:rPr>
              <w:t>学分</w:t>
            </w:r>
          </w:p>
        </w:tc>
        <w:tc>
          <w:tcPr>
            <w:tcW w:w="1607" w:type="dxa"/>
            <w:noWrap w:val="0"/>
            <w:vAlign w:val="center"/>
          </w:tcPr>
          <w:p w14:paraId="0D73569F">
            <w:pPr>
              <w:pStyle w:val="10"/>
              <w:keepNext w:val="0"/>
              <w:keepLines w:val="0"/>
              <w:pageBreakBefore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jc w:val="center"/>
              <w:textAlignment w:val="auto"/>
              <w:rPr>
                <w:rStyle w:val="9"/>
                <w:rFonts w:hint="eastAsia" w:ascii="宋体" w:hAnsi="宋体" w:eastAsia="宋体" w:cs="宋体"/>
                <w:color w:val="auto"/>
                <w:kern w:val="0"/>
                <w:sz w:val="21"/>
                <w:szCs w:val="21"/>
                <w:lang w:val="en-US" w:eastAsia="zh-CN" w:bidi="ar"/>
              </w:rPr>
            </w:pPr>
            <w:r>
              <w:rPr>
                <w:rStyle w:val="9"/>
                <w:rFonts w:hint="eastAsia" w:ascii="宋体" w:hAnsi="宋体" w:eastAsia="宋体" w:cs="宋体"/>
                <w:color w:val="auto"/>
                <w:kern w:val="0"/>
                <w:sz w:val="21"/>
                <w:szCs w:val="21"/>
                <w:lang w:val="zh-TW" w:eastAsia="zh-TW" w:bidi="ar"/>
              </w:rPr>
              <w:t>考核方式</w:t>
            </w:r>
          </w:p>
        </w:tc>
      </w:tr>
      <w:tr w14:paraId="4D7CB64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40" w:hRule="atLeast"/>
          <w:tblCellSpacing w:w="0" w:type="dxa"/>
          <w:jc w:val="center"/>
        </w:trPr>
        <w:tc>
          <w:tcPr>
            <w:tcW w:w="610" w:type="dxa"/>
            <w:vMerge w:val="restart"/>
            <w:noWrap w:val="0"/>
            <w:vAlign w:val="center"/>
          </w:tcPr>
          <w:p w14:paraId="1D651F8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Style w:val="9"/>
                <w:rFonts w:hint="eastAsia" w:ascii="宋体" w:hAnsi="宋体" w:eastAsia="宋体" w:cs="宋体"/>
                <w:sz w:val="21"/>
                <w:szCs w:val="21"/>
              </w:rPr>
            </w:pPr>
            <w:r>
              <w:rPr>
                <w:rStyle w:val="9"/>
                <w:rFonts w:hint="eastAsia" w:ascii="宋体" w:hAnsi="宋体" w:eastAsia="宋体" w:cs="宋体"/>
                <w:sz w:val="21"/>
                <w:szCs w:val="21"/>
              </w:rPr>
              <w:t>必</w:t>
            </w:r>
          </w:p>
          <w:p w14:paraId="6D9C86D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Style w:val="9"/>
                <w:rFonts w:hint="eastAsia" w:ascii="宋体" w:hAnsi="宋体" w:eastAsia="宋体" w:cs="宋体"/>
                <w:sz w:val="21"/>
                <w:szCs w:val="21"/>
              </w:rPr>
            </w:pPr>
            <w:r>
              <w:rPr>
                <w:rStyle w:val="9"/>
                <w:rFonts w:hint="eastAsia" w:ascii="宋体" w:hAnsi="宋体" w:eastAsia="宋体" w:cs="宋体"/>
                <w:sz w:val="21"/>
                <w:szCs w:val="21"/>
              </w:rPr>
              <w:t>修</w:t>
            </w:r>
          </w:p>
          <w:p w14:paraId="4664789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jc w:val="center"/>
              <w:textAlignment w:val="auto"/>
              <w:rPr>
                <w:rFonts w:hint="eastAsia" w:ascii="宋体" w:hAnsi="宋体" w:eastAsia="宋体" w:cs="宋体"/>
                <w:sz w:val="21"/>
                <w:szCs w:val="21"/>
              </w:rPr>
            </w:pPr>
            <w:r>
              <w:rPr>
                <w:rStyle w:val="9"/>
                <w:rFonts w:hint="eastAsia" w:ascii="宋体" w:hAnsi="宋体" w:eastAsia="宋体" w:cs="宋体"/>
                <w:sz w:val="21"/>
                <w:szCs w:val="21"/>
              </w:rPr>
              <w:t>课</w:t>
            </w:r>
          </w:p>
        </w:tc>
        <w:tc>
          <w:tcPr>
            <w:tcW w:w="990" w:type="dxa"/>
            <w:vMerge w:val="restart"/>
            <w:noWrap w:val="0"/>
            <w:vAlign w:val="center"/>
          </w:tcPr>
          <w:p w14:paraId="39BDBFA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Style w:val="9"/>
                <w:rFonts w:hint="eastAsia" w:ascii="宋体" w:hAnsi="宋体" w:eastAsia="宋体" w:cs="宋体"/>
                <w:sz w:val="21"/>
                <w:szCs w:val="21"/>
              </w:rPr>
            </w:pPr>
            <w:r>
              <w:rPr>
                <w:rStyle w:val="9"/>
                <w:rFonts w:hint="eastAsia" w:ascii="宋体" w:hAnsi="宋体" w:eastAsia="宋体" w:cs="宋体"/>
                <w:sz w:val="21"/>
                <w:szCs w:val="21"/>
              </w:rPr>
              <w:t>公共</w:t>
            </w:r>
          </w:p>
          <w:p w14:paraId="2B2E727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Style w:val="9"/>
                <w:rFonts w:hint="eastAsia" w:ascii="宋体" w:hAnsi="宋体" w:eastAsia="宋体" w:cs="宋体"/>
                <w:sz w:val="21"/>
                <w:szCs w:val="21"/>
              </w:rPr>
            </w:pPr>
            <w:r>
              <w:rPr>
                <w:rStyle w:val="9"/>
                <w:rFonts w:hint="eastAsia" w:ascii="宋体" w:hAnsi="宋体" w:eastAsia="宋体" w:cs="宋体"/>
                <w:sz w:val="21"/>
                <w:szCs w:val="21"/>
              </w:rPr>
              <w:t>必修</w:t>
            </w:r>
          </w:p>
          <w:p w14:paraId="1E3CF3F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jc w:val="center"/>
              <w:textAlignment w:val="auto"/>
              <w:rPr>
                <w:rFonts w:hint="eastAsia" w:ascii="宋体" w:hAnsi="宋体" w:eastAsia="宋体" w:cs="宋体"/>
                <w:sz w:val="21"/>
                <w:szCs w:val="21"/>
              </w:rPr>
            </w:pPr>
            <w:r>
              <w:rPr>
                <w:rStyle w:val="9"/>
                <w:rFonts w:hint="eastAsia" w:ascii="宋体" w:hAnsi="宋体" w:eastAsia="宋体" w:cs="宋体"/>
                <w:sz w:val="21"/>
                <w:szCs w:val="21"/>
              </w:rPr>
              <w:t>课</w:t>
            </w:r>
          </w:p>
        </w:tc>
        <w:tc>
          <w:tcPr>
            <w:tcW w:w="3900" w:type="dxa"/>
            <w:noWrap w:val="0"/>
            <w:vAlign w:val="center"/>
          </w:tcPr>
          <w:p w14:paraId="60E30E7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firstLine="210" w:firstLineChars="100"/>
              <w:jc w:val="left"/>
              <w:textAlignment w:val="auto"/>
              <w:rPr>
                <w:rFonts w:hint="eastAsia" w:ascii="宋体" w:hAnsi="宋体" w:eastAsia="宋体" w:cs="宋体"/>
                <w:sz w:val="21"/>
                <w:szCs w:val="21"/>
              </w:rPr>
            </w:pPr>
            <w:r>
              <w:rPr>
                <w:rFonts w:hint="eastAsia" w:ascii="宋体" w:hAnsi="宋体" w:eastAsia="宋体" w:cs="宋体"/>
                <w:sz w:val="21"/>
                <w:szCs w:val="21"/>
              </w:rPr>
              <w:t>中国特色科学社会主义理论与实践研究</w:t>
            </w:r>
          </w:p>
        </w:tc>
        <w:tc>
          <w:tcPr>
            <w:tcW w:w="645" w:type="dxa"/>
            <w:noWrap w:val="0"/>
            <w:vAlign w:val="center"/>
          </w:tcPr>
          <w:p w14:paraId="2AA5498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1607" w:type="dxa"/>
            <w:noWrap w:val="0"/>
            <w:vAlign w:val="center"/>
          </w:tcPr>
          <w:p w14:paraId="46AC980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jc w:val="center"/>
              <w:textAlignment w:val="auto"/>
              <w:rPr>
                <w:rFonts w:hint="eastAsia" w:ascii="宋体" w:hAnsi="宋体" w:eastAsia="宋体" w:cs="宋体"/>
                <w:sz w:val="21"/>
                <w:szCs w:val="21"/>
              </w:rPr>
            </w:pPr>
            <w:r>
              <w:rPr>
                <w:rFonts w:hint="eastAsia" w:ascii="宋体" w:hAnsi="宋体" w:eastAsia="宋体" w:cs="宋体"/>
                <w:color w:val="000000" w:themeColor="text1"/>
                <w:sz w:val="21"/>
                <w:szCs w:val="21"/>
                <w14:textFill>
                  <w14:solidFill>
                    <w14:schemeClr w14:val="tx1"/>
                  </w14:solidFill>
                </w14:textFill>
              </w:rPr>
              <w:t>考查</w:t>
            </w:r>
          </w:p>
        </w:tc>
      </w:tr>
      <w:tr w14:paraId="281A0FA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40" w:hRule="atLeast"/>
          <w:tblCellSpacing w:w="0" w:type="dxa"/>
          <w:jc w:val="center"/>
        </w:trPr>
        <w:tc>
          <w:tcPr>
            <w:tcW w:w="610" w:type="dxa"/>
            <w:vMerge w:val="continue"/>
            <w:noWrap w:val="0"/>
            <w:vAlign w:val="center"/>
          </w:tcPr>
          <w:p w14:paraId="521D0C60">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rPr>
            </w:pPr>
          </w:p>
        </w:tc>
        <w:tc>
          <w:tcPr>
            <w:tcW w:w="990" w:type="dxa"/>
            <w:vMerge w:val="continue"/>
            <w:noWrap w:val="0"/>
            <w:vAlign w:val="center"/>
          </w:tcPr>
          <w:p w14:paraId="411A80C0">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rPr>
            </w:pPr>
          </w:p>
        </w:tc>
        <w:tc>
          <w:tcPr>
            <w:tcW w:w="3900" w:type="dxa"/>
            <w:noWrap w:val="0"/>
            <w:vAlign w:val="center"/>
          </w:tcPr>
          <w:p w14:paraId="2798AF1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firstLine="210" w:firstLineChars="100"/>
              <w:jc w:val="left"/>
              <w:textAlignment w:val="auto"/>
              <w:rPr>
                <w:rFonts w:hint="eastAsia" w:ascii="宋体" w:hAnsi="宋体" w:eastAsia="宋体" w:cs="宋体"/>
                <w:sz w:val="21"/>
                <w:szCs w:val="21"/>
              </w:rPr>
            </w:pPr>
            <w:r>
              <w:rPr>
                <w:rFonts w:hint="eastAsia" w:ascii="宋体" w:hAnsi="宋体" w:eastAsia="宋体" w:cs="宋体"/>
                <w:sz w:val="21"/>
                <w:szCs w:val="21"/>
              </w:rPr>
              <w:t>马克思主义与社会科学方法论</w:t>
            </w:r>
          </w:p>
        </w:tc>
        <w:tc>
          <w:tcPr>
            <w:tcW w:w="645" w:type="dxa"/>
            <w:noWrap w:val="0"/>
            <w:vAlign w:val="center"/>
          </w:tcPr>
          <w:p w14:paraId="2C7C594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607" w:type="dxa"/>
            <w:noWrap w:val="0"/>
            <w:vAlign w:val="center"/>
          </w:tcPr>
          <w:p w14:paraId="003945A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jc w:val="center"/>
              <w:textAlignment w:val="auto"/>
              <w:rPr>
                <w:rFonts w:hint="eastAsia" w:ascii="宋体" w:hAnsi="宋体" w:eastAsia="宋体" w:cs="宋体"/>
                <w:sz w:val="21"/>
                <w:szCs w:val="21"/>
              </w:rPr>
            </w:pPr>
            <w:r>
              <w:rPr>
                <w:rFonts w:hint="eastAsia" w:ascii="宋体" w:hAnsi="宋体" w:eastAsia="宋体" w:cs="宋体"/>
                <w:color w:val="000000" w:themeColor="text1"/>
                <w:sz w:val="21"/>
                <w:szCs w:val="21"/>
                <w14:textFill>
                  <w14:solidFill>
                    <w14:schemeClr w14:val="tx1"/>
                  </w14:solidFill>
                </w14:textFill>
              </w:rPr>
              <w:t>考查</w:t>
            </w:r>
          </w:p>
        </w:tc>
      </w:tr>
      <w:tr w14:paraId="2D74D7C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40" w:hRule="atLeast"/>
          <w:tblCellSpacing w:w="0" w:type="dxa"/>
          <w:jc w:val="center"/>
        </w:trPr>
        <w:tc>
          <w:tcPr>
            <w:tcW w:w="610" w:type="dxa"/>
            <w:vMerge w:val="continue"/>
            <w:noWrap w:val="0"/>
            <w:vAlign w:val="center"/>
          </w:tcPr>
          <w:p w14:paraId="74332E8E">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rPr>
            </w:pPr>
          </w:p>
        </w:tc>
        <w:tc>
          <w:tcPr>
            <w:tcW w:w="990" w:type="dxa"/>
            <w:vMerge w:val="continue"/>
            <w:noWrap w:val="0"/>
            <w:vAlign w:val="center"/>
          </w:tcPr>
          <w:p w14:paraId="70FA6977">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rPr>
            </w:pPr>
          </w:p>
        </w:tc>
        <w:tc>
          <w:tcPr>
            <w:tcW w:w="3900" w:type="dxa"/>
            <w:noWrap w:val="0"/>
            <w:vAlign w:val="center"/>
          </w:tcPr>
          <w:p w14:paraId="055C9AA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firstLine="210" w:firstLineChars="100"/>
              <w:jc w:val="left"/>
              <w:textAlignment w:val="auto"/>
              <w:rPr>
                <w:rFonts w:hint="eastAsia" w:ascii="宋体" w:hAnsi="宋体" w:eastAsia="宋体" w:cs="宋体"/>
                <w:sz w:val="21"/>
                <w:szCs w:val="21"/>
              </w:rPr>
            </w:pPr>
            <w:r>
              <w:rPr>
                <w:rFonts w:hint="eastAsia" w:ascii="宋体" w:hAnsi="宋体" w:eastAsia="宋体" w:cs="宋体"/>
                <w:sz w:val="21"/>
                <w:szCs w:val="21"/>
              </w:rPr>
              <w:t>第一外国语</w:t>
            </w:r>
          </w:p>
        </w:tc>
        <w:tc>
          <w:tcPr>
            <w:tcW w:w="645" w:type="dxa"/>
            <w:noWrap w:val="0"/>
            <w:vAlign w:val="center"/>
          </w:tcPr>
          <w:p w14:paraId="59966A4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1607" w:type="dxa"/>
            <w:noWrap w:val="0"/>
            <w:vAlign w:val="center"/>
          </w:tcPr>
          <w:p w14:paraId="28F5429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jc w:val="center"/>
              <w:textAlignment w:val="auto"/>
              <w:rPr>
                <w:rFonts w:hint="eastAsia" w:ascii="宋体" w:hAnsi="宋体" w:eastAsia="宋体" w:cs="宋体"/>
                <w:sz w:val="21"/>
                <w:szCs w:val="21"/>
              </w:rPr>
            </w:pPr>
            <w:r>
              <w:rPr>
                <w:rFonts w:hint="eastAsia" w:ascii="宋体" w:hAnsi="宋体" w:eastAsia="宋体" w:cs="宋体"/>
                <w:color w:val="000000" w:themeColor="text1"/>
                <w:sz w:val="21"/>
                <w:szCs w:val="21"/>
                <w14:textFill>
                  <w14:solidFill>
                    <w14:schemeClr w14:val="tx1"/>
                  </w14:solidFill>
                </w14:textFill>
              </w:rPr>
              <w:t>考查</w:t>
            </w:r>
          </w:p>
        </w:tc>
      </w:tr>
      <w:tr w14:paraId="12A2C37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40" w:hRule="atLeast"/>
          <w:tblCellSpacing w:w="0" w:type="dxa"/>
          <w:jc w:val="center"/>
        </w:trPr>
        <w:tc>
          <w:tcPr>
            <w:tcW w:w="610" w:type="dxa"/>
            <w:vMerge w:val="continue"/>
            <w:noWrap w:val="0"/>
            <w:vAlign w:val="center"/>
          </w:tcPr>
          <w:p w14:paraId="3DBCC7F9">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rPr>
            </w:pPr>
          </w:p>
        </w:tc>
        <w:tc>
          <w:tcPr>
            <w:tcW w:w="990" w:type="dxa"/>
            <w:vMerge w:val="restart"/>
            <w:noWrap w:val="0"/>
            <w:vAlign w:val="center"/>
          </w:tcPr>
          <w:p w14:paraId="050F504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Style w:val="9"/>
                <w:rFonts w:hint="eastAsia" w:ascii="宋体" w:hAnsi="宋体" w:eastAsia="宋体" w:cs="宋体"/>
                <w:sz w:val="21"/>
                <w:szCs w:val="21"/>
              </w:rPr>
            </w:pPr>
            <w:r>
              <w:rPr>
                <w:rStyle w:val="9"/>
                <w:rFonts w:hint="eastAsia" w:ascii="宋体" w:hAnsi="宋体" w:eastAsia="宋体" w:cs="宋体"/>
                <w:sz w:val="21"/>
                <w:szCs w:val="21"/>
              </w:rPr>
              <w:t>专</w:t>
            </w:r>
          </w:p>
          <w:p w14:paraId="12CC375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Style w:val="9"/>
                <w:rFonts w:hint="eastAsia" w:ascii="宋体" w:hAnsi="宋体" w:eastAsia="宋体" w:cs="宋体"/>
                <w:sz w:val="21"/>
                <w:szCs w:val="21"/>
              </w:rPr>
            </w:pPr>
            <w:r>
              <w:rPr>
                <w:rStyle w:val="9"/>
                <w:rFonts w:hint="eastAsia" w:ascii="宋体" w:hAnsi="宋体" w:eastAsia="宋体" w:cs="宋体"/>
                <w:sz w:val="21"/>
                <w:szCs w:val="21"/>
              </w:rPr>
              <w:t>业</w:t>
            </w:r>
          </w:p>
          <w:p w14:paraId="426D499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Style w:val="9"/>
                <w:rFonts w:hint="eastAsia" w:ascii="宋体" w:hAnsi="宋体" w:eastAsia="宋体" w:cs="宋体"/>
                <w:sz w:val="21"/>
                <w:szCs w:val="21"/>
              </w:rPr>
            </w:pPr>
            <w:r>
              <w:rPr>
                <w:rStyle w:val="9"/>
                <w:rFonts w:hint="eastAsia" w:ascii="宋体" w:hAnsi="宋体" w:eastAsia="宋体" w:cs="宋体"/>
                <w:sz w:val="21"/>
                <w:szCs w:val="21"/>
              </w:rPr>
              <w:t>基</w:t>
            </w:r>
          </w:p>
          <w:p w14:paraId="13CA63E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Style w:val="9"/>
                <w:rFonts w:hint="eastAsia" w:ascii="宋体" w:hAnsi="宋体" w:eastAsia="宋体" w:cs="宋体"/>
                <w:sz w:val="21"/>
                <w:szCs w:val="21"/>
              </w:rPr>
            </w:pPr>
            <w:r>
              <w:rPr>
                <w:rStyle w:val="9"/>
                <w:rFonts w:hint="eastAsia" w:ascii="宋体" w:hAnsi="宋体" w:eastAsia="宋体" w:cs="宋体"/>
                <w:sz w:val="21"/>
                <w:szCs w:val="21"/>
              </w:rPr>
              <w:t>础</w:t>
            </w:r>
          </w:p>
          <w:p w14:paraId="0111E48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jc w:val="center"/>
              <w:textAlignment w:val="auto"/>
              <w:rPr>
                <w:rFonts w:hint="eastAsia" w:ascii="宋体" w:hAnsi="宋体" w:eastAsia="宋体" w:cs="宋体"/>
                <w:sz w:val="21"/>
                <w:szCs w:val="21"/>
              </w:rPr>
            </w:pPr>
            <w:r>
              <w:rPr>
                <w:rStyle w:val="9"/>
                <w:rFonts w:hint="eastAsia" w:ascii="宋体" w:hAnsi="宋体" w:eastAsia="宋体" w:cs="宋体"/>
                <w:sz w:val="21"/>
                <w:szCs w:val="21"/>
              </w:rPr>
              <w:t>课</w:t>
            </w:r>
          </w:p>
        </w:tc>
        <w:tc>
          <w:tcPr>
            <w:tcW w:w="3900" w:type="dxa"/>
            <w:noWrap w:val="0"/>
            <w:vAlign w:val="center"/>
          </w:tcPr>
          <w:p w14:paraId="26210FD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210" w:firstLineChars="100"/>
              <w:jc w:val="left"/>
              <w:textAlignment w:val="auto"/>
              <w:rPr>
                <w:rFonts w:hint="eastAsia" w:ascii="宋体" w:hAnsi="宋体" w:eastAsia="宋体" w:cs="宋体"/>
                <w:sz w:val="21"/>
                <w:szCs w:val="21"/>
              </w:rPr>
            </w:pPr>
            <w:r>
              <w:rPr>
                <w:rFonts w:hint="eastAsia" w:ascii="宋体" w:hAnsi="宋体" w:eastAsia="宋体" w:cs="宋体"/>
                <w:bCs/>
                <w:color w:val="000000" w:themeColor="text1"/>
                <w:sz w:val="21"/>
                <w:szCs w:val="21"/>
                <w14:textFill>
                  <w14:solidFill>
                    <w14:schemeClr w14:val="tx1"/>
                  </w14:solidFill>
                </w14:textFill>
              </w:rPr>
              <w:t>微观经济学</w:t>
            </w:r>
          </w:p>
        </w:tc>
        <w:tc>
          <w:tcPr>
            <w:tcW w:w="645" w:type="dxa"/>
            <w:noWrap w:val="0"/>
            <w:vAlign w:val="center"/>
          </w:tcPr>
          <w:p w14:paraId="5F0B131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jc w:val="center"/>
              <w:textAlignment w:val="auto"/>
              <w:rPr>
                <w:rFonts w:hint="eastAsia" w:ascii="宋体" w:hAnsi="宋体" w:eastAsia="宋体" w:cs="宋体"/>
                <w:bCs/>
                <w:color w:val="000000" w:themeColor="text1"/>
                <w:kern w:val="2"/>
                <w:sz w:val="21"/>
                <w:szCs w:val="21"/>
                <w:lang w:val="en-US" w:eastAsia="zh-CN" w:bidi="ar-SA"/>
                <w14:textFill>
                  <w14:solidFill>
                    <w14:schemeClr w14:val="tx1"/>
                  </w14:solidFill>
                </w14:textFill>
              </w:rPr>
            </w:pPr>
            <w:r>
              <w:rPr>
                <w:rFonts w:hint="eastAsia" w:ascii="宋体" w:hAnsi="宋体" w:eastAsia="宋体" w:cs="宋体"/>
                <w:bCs/>
                <w:color w:val="000000" w:themeColor="text1"/>
                <w:sz w:val="21"/>
                <w:szCs w:val="21"/>
                <w14:textFill>
                  <w14:solidFill>
                    <w14:schemeClr w14:val="tx1"/>
                  </w14:solidFill>
                </w14:textFill>
              </w:rPr>
              <w:t>3</w:t>
            </w:r>
          </w:p>
        </w:tc>
        <w:tc>
          <w:tcPr>
            <w:tcW w:w="1607" w:type="dxa"/>
            <w:noWrap w:val="0"/>
            <w:vAlign w:val="center"/>
          </w:tcPr>
          <w:p w14:paraId="55A5144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jc w:val="center"/>
              <w:textAlignment w:val="auto"/>
              <w:rPr>
                <w:rFonts w:hint="eastAsia" w:ascii="宋体" w:hAnsi="宋体" w:eastAsia="宋体" w:cs="宋体"/>
                <w:sz w:val="21"/>
                <w:szCs w:val="21"/>
              </w:rPr>
            </w:pPr>
            <w:r>
              <w:rPr>
                <w:rFonts w:hint="eastAsia" w:ascii="宋体" w:hAnsi="宋体" w:eastAsia="宋体" w:cs="宋体"/>
                <w:color w:val="000000" w:themeColor="text1"/>
                <w:sz w:val="21"/>
                <w:szCs w:val="21"/>
                <w14:textFill>
                  <w14:solidFill>
                    <w14:schemeClr w14:val="tx1"/>
                  </w14:solidFill>
                </w14:textFill>
              </w:rPr>
              <w:t>考查</w:t>
            </w:r>
          </w:p>
        </w:tc>
      </w:tr>
      <w:tr w14:paraId="458A21A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40" w:hRule="atLeast"/>
          <w:tblCellSpacing w:w="0" w:type="dxa"/>
          <w:jc w:val="center"/>
        </w:trPr>
        <w:tc>
          <w:tcPr>
            <w:tcW w:w="610" w:type="dxa"/>
            <w:vMerge w:val="continue"/>
            <w:noWrap w:val="0"/>
            <w:vAlign w:val="center"/>
          </w:tcPr>
          <w:p w14:paraId="4AE12D7D">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rPr>
            </w:pPr>
          </w:p>
        </w:tc>
        <w:tc>
          <w:tcPr>
            <w:tcW w:w="990" w:type="dxa"/>
            <w:vMerge w:val="continue"/>
            <w:noWrap w:val="0"/>
            <w:vAlign w:val="center"/>
          </w:tcPr>
          <w:p w14:paraId="213DC8D2">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rPr>
            </w:pPr>
          </w:p>
        </w:tc>
        <w:tc>
          <w:tcPr>
            <w:tcW w:w="3900" w:type="dxa"/>
            <w:noWrap w:val="0"/>
            <w:vAlign w:val="center"/>
          </w:tcPr>
          <w:p w14:paraId="22F78E5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210" w:firstLineChars="100"/>
              <w:jc w:val="left"/>
              <w:textAlignment w:val="auto"/>
              <w:rPr>
                <w:rFonts w:hint="eastAsia" w:ascii="宋体" w:hAnsi="宋体" w:eastAsia="宋体" w:cs="宋体"/>
                <w:sz w:val="21"/>
                <w:szCs w:val="21"/>
              </w:rPr>
            </w:pPr>
            <w:r>
              <w:rPr>
                <w:rFonts w:hint="eastAsia" w:ascii="宋体" w:hAnsi="宋体" w:eastAsia="宋体" w:cs="宋体"/>
                <w:bCs/>
                <w:color w:val="000000" w:themeColor="text1"/>
                <w:sz w:val="21"/>
                <w:szCs w:val="21"/>
                <w:lang w:val="en-US" w:eastAsia="zh-CN"/>
                <w14:textFill>
                  <w14:solidFill>
                    <w14:schemeClr w14:val="tx1"/>
                  </w14:solidFill>
                </w14:textFill>
              </w:rPr>
              <w:t>国际</w:t>
            </w:r>
            <w:r>
              <w:rPr>
                <w:rFonts w:hint="eastAsia" w:ascii="宋体" w:hAnsi="宋体" w:eastAsia="宋体" w:cs="宋体"/>
                <w:bCs/>
                <w:color w:val="000000" w:themeColor="text1"/>
                <w:sz w:val="21"/>
                <w:szCs w:val="21"/>
                <w14:textFill>
                  <w14:solidFill>
                    <w14:schemeClr w14:val="tx1"/>
                  </w14:solidFill>
                </w14:textFill>
              </w:rPr>
              <w:t>经济学</w:t>
            </w:r>
          </w:p>
        </w:tc>
        <w:tc>
          <w:tcPr>
            <w:tcW w:w="645" w:type="dxa"/>
            <w:noWrap w:val="0"/>
            <w:vAlign w:val="center"/>
          </w:tcPr>
          <w:p w14:paraId="31C454D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jc w:val="center"/>
              <w:textAlignment w:val="auto"/>
              <w:rPr>
                <w:rFonts w:hint="eastAsia" w:ascii="宋体" w:hAnsi="宋体" w:eastAsia="宋体" w:cs="宋体"/>
                <w:bCs/>
                <w:color w:val="000000" w:themeColor="text1"/>
                <w:kern w:val="2"/>
                <w:sz w:val="21"/>
                <w:szCs w:val="21"/>
                <w:lang w:val="en-US" w:eastAsia="zh-CN" w:bidi="ar-SA"/>
                <w14:textFill>
                  <w14:solidFill>
                    <w14:schemeClr w14:val="tx1"/>
                  </w14:solidFill>
                </w14:textFill>
              </w:rPr>
            </w:pPr>
            <w:r>
              <w:rPr>
                <w:rFonts w:hint="eastAsia" w:ascii="宋体" w:hAnsi="宋体" w:eastAsia="宋体" w:cs="宋体"/>
                <w:bCs/>
                <w:color w:val="000000" w:themeColor="text1"/>
                <w:sz w:val="21"/>
                <w:szCs w:val="21"/>
                <w14:textFill>
                  <w14:solidFill>
                    <w14:schemeClr w14:val="tx1"/>
                  </w14:solidFill>
                </w14:textFill>
              </w:rPr>
              <w:t>3</w:t>
            </w:r>
          </w:p>
        </w:tc>
        <w:tc>
          <w:tcPr>
            <w:tcW w:w="1607" w:type="dxa"/>
            <w:noWrap w:val="0"/>
            <w:vAlign w:val="center"/>
          </w:tcPr>
          <w:p w14:paraId="715E9D6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000000" w:themeColor="text1"/>
                <w:sz w:val="21"/>
                <w:szCs w:val="21"/>
                <w14:textFill>
                  <w14:solidFill>
                    <w14:schemeClr w14:val="tx1"/>
                  </w14:solidFill>
                </w14:textFill>
              </w:rPr>
              <w:t>考查</w:t>
            </w:r>
          </w:p>
        </w:tc>
      </w:tr>
      <w:tr w14:paraId="45BE4F1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40" w:hRule="atLeast"/>
          <w:tblCellSpacing w:w="0" w:type="dxa"/>
          <w:jc w:val="center"/>
        </w:trPr>
        <w:tc>
          <w:tcPr>
            <w:tcW w:w="610" w:type="dxa"/>
            <w:vMerge w:val="continue"/>
            <w:noWrap w:val="0"/>
            <w:vAlign w:val="center"/>
          </w:tcPr>
          <w:p w14:paraId="6E3EB672">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rPr>
            </w:pPr>
          </w:p>
        </w:tc>
        <w:tc>
          <w:tcPr>
            <w:tcW w:w="990" w:type="dxa"/>
            <w:vMerge w:val="continue"/>
            <w:noWrap w:val="0"/>
            <w:vAlign w:val="center"/>
          </w:tcPr>
          <w:p w14:paraId="5F048703">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rPr>
            </w:pPr>
          </w:p>
        </w:tc>
        <w:tc>
          <w:tcPr>
            <w:tcW w:w="3900" w:type="dxa"/>
            <w:noWrap w:val="0"/>
            <w:vAlign w:val="center"/>
          </w:tcPr>
          <w:p w14:paraId="5453599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210" w:firstLineChars="100"/>
              <w:jc w:val="left"/>
              <w:textAlignment w:val="auto"/>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14:textFill>
                  <w14:solidFill>
                    <w14:schemeClr w14:val="tx1"/>
                  </w14:solidFill>
                </w14:textFill>
              </w:rPr>
              <w:t>宏观经济学</w:t>
            </w:r>
          </w:p>
        </w:tc>
        <w:tc>
          <w:tcPr>
            <w:tcW w:w="645" w:type="dxa"/>
            <w:noWrap w:val="0"/>
            <w:vAlign w:val="center"/>
          </w:tcPr>
          <w:p w14:paraId="505FC07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jc w:val="center"/>
              <w:textAlignment w:val="auto"/>
              <w:rPr>
                <w:rFonts w:hint="eastAsia" w:ascii="宋体" w:hAnsi="宋体" w:eastAsia="宋体" w:cs="宋体"/>
                <w:bCs/>
                <w:color w:val="000000" w:themeColor="text1"/>
                <w:kern w:val="2"/>
                <w:sz w:val="21"/>
                <w:szCs w:val="21"/>
                <w:lang w:val="en-US" w:eastAsia="zh-CN" w:bidi="ar-SA"/>
                <w14:textFill>
                  <w14:solidFill>
                    <w14:schemeClr w14:val="tx1"/>
                  </w14:solidFill>
                </w14:textFill>
              </w:rPr>
            </w:pPr>
            <w:r>
              <w:rPr>
                <w:rFonts w:hint="eastAsia" w:ascii="宋体" w:hAnsi="宋体" w:eastAsia="宋体" w:cs="宋体"/>
                <w:bCs/>
                <w:color w:val="000000" w:themeColor="text1"/>
                <w:sz w:val="21"/>
                <w:szCs w:val="21"/>
                <w14:textFill>
                  <w14:solidFill>
                    <w14:schemeClr w14:val="tx1"/>
                  </w14:solidFill>
                </w14:textFill>
              </w:rPr>
              <w:t>3</w:t>
            </w:r>
          </w:p>
        </w:tc>
        <w:tc>
          <w:tcPr>
            <w:tcW w:w="1607" w:type="dxa"/>
            <w:noWrap w:val="0"/>
            <w:vAlign w:val="center"/>
          </w:tcPr>
          <w:p w14:paraId="3752E33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jc w:val="center"/>
              <w:textAlignment w:val="auto"/>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考查</w:t>
            </w:r>
          </w:p>
        </w:tc>
      </w:tr>
      <w:tr w14:paraId="2DB34C1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40" w:hRule="atLeast"/>
          <w:tblCellSpacing w:w="0" w:type="dxa"/>
          <w:jc w:val="center"/>
        </w:trPr>
        <w:tc>
          <w:tcPr>
            <w:tcW w:w="610" w:type="dxa"/>
            <w:vMerge w:val="continue"/>
            <w:noWrap w:val="0"/>
            <w:vAlign w:val="center"/>
          </w:tcPr>
          <w:p w14:paraId="567ADD51">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rPr>
            </w:pPr>
          </w:p>
        </w:tc>
        <w:tc>
          <w:tcPr>
            <w:tcW w:w="990" w:type="dxa"/>
            <w:vMerge w:val="continue"/>
            <w:noWrap w:val="0"/>
            <w:vAlign w:val="center"/>
          </w:tcPr>
          <w:p w14:paraId="6E624C83">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rPr>
            </w:pPr>
          </w:p>
        </w:tc>
        <w:tc>
          <w:tcPr>
            <w:tcW w:w="3900" w:type="dxa"/>
            <w:noWrap w:val="0"/>
            <w:vAlign w:val="center"/>
          </w:tcPr>
          <w:p w14:paraId="7A3F7A9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210" w:firstLineChars="100"/>
              <w:jc w:val="left"/>
              <w:textAlignment w:val="auto"/>
              <w:rPr>
                <w:rFonts w:hint="eastAsia" w:ascii="宋体" w:hAnsi="宋体" w:eastAsia="宋体" w:cs="宋体"/>
                <w:bCs/>
                <w:color w:val="000000" w:themeColor="text1"/>
                <w:sz w:val="21"/>
                <w:szCs w:val="21"/>
                <w:lang w:val="en-US" w:eastAsia="zh-CN"/>
                <w14:textFill>
                  <w14:solidFill>
                    <w14:schemeClr w14:val="tx1"/>
                  </w14:solidFill>
                </w14:textFill>
              </w:rPr>
            </w:pPr>
            <w:r>
              <w:rPr>
                <w:rFonts w:hint="eastAsia" w:ascii="宋体" w:hAnsi="宋体" w:eastAsia="宋体" w:cs="宋体"/>
                <w:bCs/>
                <w:color w:val="000000" w:themeColor="text1"/>
                <w:sz w:val="21"/>
                <w:szCs w:val="21"/>
                <w:lang w:val="en-US" w:eastAsia="zh-CN"/>
                <w14:textFill>
                  <w14:solidFill>
                    <w14:schemeClr w14:val="tx1"/>
                  </w14:solidFill>
                </w14:textFill>
              </w:rPr>
              <w:t>财政学</w:t>
            </w:r>
          </w:p>
        </w:tc>
        <w:tc>
          <w:tcPr>
            <w:tcW w:w="645" w:type="dxa"/>
            <w:noWrap w:val="0"/>
            <w:vAlign w:val="center"/>
          </w:tcPr>
          <w:p w14:paraId="3AC548B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jc w:val="center"/>
              <w:textAlignment w:val="auto"/>
              <w:rPr>
                <w:rFonts w:hint="eastAsia" w:ascii="宋体" w:hAnsi="宋体" w:eastAsia="宋体" w:cs="宋体"/>
                <w:bCs/>
                <w:color w:val="000000" w:themeColor="text1"/>
                <w:sz w:val="21"/>
                <w:szCs w:val="21"/>
                <w:lang w:val="en-US" w:eastAsia="zh-CN"/>
                <w14:textFill>
                  <w14:solidFill>
                    <w14:schemeClr w14:val="tx1"/>
                  </w14:solidFill>
                </w14:textFill>
              </w:rPr>
            </w:pPr>
            <w:r>
              <w:rPr>
                <w:rFonts w:hint="eastAsia" w:ascii="宋体" w:hAnsi="宋体" w:eastAsia="宋体" w:cs="宋体"/>
                <w:bCs/>
                <w:color w:val="000000" w:themeColor="text1"/>
                <w:sz w:val="21"/>
                <w:szCs w:val="21"/>
                <w:lang w:val="en-US" w:eastAsia="zh-CN"/>
                <w14:textFill>
                  <w14:solidFill>
                    <w14:schemeClr w14:val="tx1"/>
                  </w14:solidFill>
                </w14:textFill>
              </w:rPr>
              <w:t>3</w:t>
            </w:r>
          </w:p>
        </w:tc>
        <w:tc>
          <w:tcPr>
            <w:tcW w:w="1607" w:type="dxa"/>
            <w:noWrap w:val="0"/>
            <w:vAlign w:val="center"/>
          </w:tcPr>
          <w:p w14:paraId="2CFB5C6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考查</w:t>
            </w:r>
          </w:p>
        </w:tc>
      </w:tr>
      <w:tr w14:paraId="74E8221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40" w:hRule="atLeast"/>
          <w:tblCellSpacing w:w="0" w:type="dxa"/>
          <w:jc w:val="center"/>
        </w:trPr>
        <w:tc>
          <w:tcPr>
            <w:tcW w:w="610" w:type="dxa"/>
            <w:vMerge w:val="continue"/>
            <w:noWrap w:val="0"/>
            <w:vAlign w:val="center"/>
          </w:tcPr>
          <w:p w14:paraId="09845E8A">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rPr>
            </w:pPr>
          </w:p>
        </w:tc>
        <w:tc>
          <w:tcPr>
            <w:tcW w:w="990" w:type="dxa"/>
            <w:vMerge w:val="continue"/>
            <w:noWrap w:val="0"/>
            <w:vAlign w:val="center"/>
          </w:tcPr>
          <w:p w14:paraId="6A2B5D3E">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rPr>
            </w:pPr>
          </w:p>
        </w:tc>
        <w:tc>
          <w:tcPr>
            <w:tcW w:w="3900" w:type="dxa"/>
            <w:noWrap w:val="0"/>
            <w:vAlign w:val="center"/>
          </w:tcPr>
          <w:p w14:paraId="5123818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210" w:firstLineChars="100"/>
              <w:jc w:val="left"/>
              <w:textAlignment w:val="auto"/>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14:textFill>
                  <w14:solidFill>
                    <w14:schemeClr w14:val="tx1"/>
                  </w14:solidFill>
                </w14:textFill>
              </w:rPr>
              <w:t>社会主义市场经济理论</w:t>
            </w:r>
          </w:p>
        </w:tc>
        <w:tc>
          <w:tcPr>
            <w:tcW w:w="645" w:type="dxa"/>
            <w:noWrap w:val="0"/>
            <w:vAlign w:val="center"/>
          </w:tcPr>
          <w:p w14:paraId="368338B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jc w:val="center"/>
              <w:textAlignment w:val="auto"/>
              <w:rPr>
                <w:rFonts w:hint="eastAsia" w:ascii="宋体" w:hAnsi="宋体" w:eastAsia="宋体" w:cs="宋体"/>
                <w:bCs/>
                <w:color w:val="000000" w:themeColor="text1"/>
                <w:kern w:val="2"/>
                <w:sz w:val="21"/>
                <w:szCs w:val="21"/>
                <w:lang w:val="en-US" w:eastAsia="zh-CN" w:bidi="ar-SA"/>
                <w14:textFill>
                  <w14:solidFill>
                    <w14:schemeClr w14:val="tx1"/>
                  </w14:solidFill>
                </w14:textFill>
              </w:rPr>
            </w:pPr>
            <w:r>
              <w:rPr>
                <w:rFonts w:hint="eastAsia" w:ascii="宋体" w:hAnsi="宋体" w:eastAsia="宋体" w:cs="宋体"/>
                <w:bCs/>
                <w:color w:val="000000" w:themeColor="text1"/>
                <w:sz w:val="21"/>
                <w:szCs w:val="21"/>
                <w14:textFill>
                  <w14:solidFill>
                    <w14:schemeClr w14:val="tx1"/>
                  </w14:solidFill>
                </w14:textFill>
              </w:rPr>
              <w:t>3</w:t>
            </w:r>
          </w:p>
        </w:tc>
        <w:tc>
          <w:tcPr>
            <w:tcW w:w="1607" w:type="dxa"/>
            <w:noWrap w:val="0"/>
            <w:vAlign w:val="center"/>
          </w:tcPr>
          <w:p w14:paraId="156125A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考查</w:t>
            </w:r>
          </w:p>
        </w:tc>
      </w:tr>
      <w:tr w14:paraId="33DE31B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40" w:hRule="atLeast"/>
          <w:tblCellSpacing w:w="0" w:type="dxa"/>
          <w:jc w:val="center"/>
        </w:trPr>
        <w:tc>
          <w:tcPr>
            <w:tcW w:w="610" w:type="dxa"/>
            <w:vMerge w:val="continue"/>
            <w:noWrap w:val="0"/>
            <w:vAlign w:val="center"/>
          </w:tcPr>
          <w:p w14:paraId="6618383A">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rPr>
            </w:pPr>
          </w:p>
        </w:tc>
        <w:tc>
          <w:tcPr>
            <w:tcW w:w="990" w:type="dxa"/>
            <w:vMerge w:val="restart"/>
            <w:tcBorders>
              <w:top w:val="single" w:color="auto" w:sz="4" w:space="0"/>
              <w:left w:val="single" w:color="auto" w:sz="4" w:space="0"/>
            </w:tcBorders>
            <w:noWrap w:val="0"/>
            <w:vAlign w:val="center"/>
          </w:tcPr>
          <w:p w14:paraId="015CCE5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专</w:t>
            </w:r>
          </w:p>
          <w:p w14:paraId="06CECF8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业</w:t>
            </w:r>
          </w:p>
          <w:p w14:paraId="2BDF700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必</w:t>
            </w:r>
          </w:p>
          <w:p w14:paraId="3897885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修</w:t>
            </w:r>
          </w:p>
          <w:p w14:paraId="512168D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1"/>
                <w:szCs w:val="21"/>
              </w:rPr>
            </w:pPr>
            <w:r>
              <w:rPr>
                <w:rFonts w:hint="eastAsia" w:ascii="宋体" w:hAnsi="宋体" w:eastAsia="宋体" w:cs="宋体"/>
                <w:b/>
                <w:bCs/>
                <w:color w:val="000000" w:themeColor="text1"/>
                <w:sz w:val="21"/>
                <w:szCs w:val="21"/>
                <w14:textFill>
                  <w14:solidFill>
                    <w14:schemeClr w14:val="tx1"/>
                  </w14:solidFill>
                </w14:textFill>
              </w:rPr>
              <w:t>课</w:t>
            </w:r>
          </w:p>
        </w:tc>
        <w:tc>
          <w:tcPr>
            <w:tcW w:w="3900" w:type="dxa"/>
            <w:tcBorders>
              <w:top w:val="single" w:color="auto" w:sz="4" w:space="0"/>
            </w:tcBorders>
            <w:noWrap w:val="0"/>
            <w:vAlign w:val="center"/>
          </w:tcPr>
          <w:p w14:paraId="7BE2EF9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210" w:firstLineChars="100"/>
              <w:jc w:val="left"/>
              <w:textAlignment w:val="auto"/>
              <w:rPr>
                <w:rFonts w:hint="eastAsia" w:ascii="宋体" w:hAnsi="宋体" w:eastAsia="宋体" w:cs="宋体"/>
                <w:bCs/>
                <w:color w:val="000000" w:themeColor="text1"/>
                <w:kern w:val="2"/>
                <w:sz w:val="21"/>
                <w:szCs w:val="21"/>
                <w:lang w:val="en-US" w:eastAsia="zh-CN" w:bidi="ar-SA"/>
                <w14:textFill>
                  <w14:solidFill>
                    <w14:schemeClr w14:val="tx1"/>
                  </w14:solidFill>
                </w14:textFill>
              </w:rPr>
            </w:pPr>
            <w:r>
              <w:rPr>
                <w:rFonts w:hint="eastAsia" w:ascii="宋体" w:hAnsi="宋体" w:eastAsia="宋体" w:cs="宋体"/>
                <w:bCs/>
                <w:color w:val="000000" w:themeColor="text1"/>
                <w:sz w:val="21"/>
                <w:szCs w:val="21"/>
                <w:lang w:val="en-US" w:eastAsia="zh-CN"/>
                <w14:textFill>
                  <w14:solidFill>
                    <w14:schemeClr w14:val="tx1"/>
                  </w14:solidFill>
                </w14:textFill>
              </w:rPr>
              <w:t>货币经济学</w:t>
            </w:r>
          </w:p>
        </w:tc>
        <w:tc>
          <w:tcPr>
            <w:tcW w:w="645" w:type="dxa"/>
            <w:tcBorders>
              <w:top w:val="single" w:color="auto" w:sz="4" w:space="0"/>
            </w:tcBorders>
            <w:noWrap w:val="0"/>
            <w:vAlign w:val="center"/>
          </w:tcPr>
          <w:p w14:paraId="4CA94EC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jc w:val="center"/>
              <w:textAlignment w:val="auto"/>
              <w:rPr>
                <w:rFonts w:hint="eastAsia" w:ascii="宋体" w:hAnsi="宋体" w:eastAsia="宋体" w:cs="宋体"/>
                <w:sz w:val="21"/>
                <w:szCs w:val="21"/>
                <w:lang w:val="en-US" w:eastAsia="zh-CN"/>
              </w:rPr>
            </w:pPr>
            <w:r>
              <w:rPr>
                <w:rFonts w:hint="eastAsia" w:ascii="宋体" w:hAnsi="宋体" w:eastAsia="宋体" w:cs="宋体"/>
                <w:bCs/>
                <w:color w:val="000000" w:themeColor="text1"/>
                <w:sz w:val="21"/>
                <w:szCs w:val="21"/>
                <w14:textFill>
                  <w14:solidFill>
                    <w14:schemeClr w14:val="tx1"/>
                  </w14:solidFill>
                </w14:textFill>
              </w:rPr>
              <w:t>3</w:t>
            </w:r>
          </w:p>
        </w:tc>
        <w:tc>
          <w:tcPr>
            <w:tcW w:w="1607" w:type="dxa"/>
            <w:tcBorders>
              <w:top w:val="single" w:color="auto" w:sz="4" w:space="0"/>
              <w:right w:val="single" w:color="auto" w:sz="4" w:space="0"/>
            </w:tcBorders>
            <w:noWrap w:val="0"/>
            <w:vAlign w:val="center"/>
          </w:tcPr>
          <w:p w14:paraId="652B527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考查</w:t>
            </w:r>
          </w:p>
        </w:tc>
      </w:tr>
      <w:tr w14:paraId="09A8089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40" w:hRule="atLeast"/>
          <w:tblCellSpacing w:w="0" w:type="dxa"/>
          <w:jc w:val="center"/>
        </w:trPr>
        <w:tc>
          <w:tcPr>
            <w:tcW w:w="610" w:type="dxa"/>
            <w:vMerge w:val="continue"/>
            <w:noWrap w:val="0"/>
            <w:vAlign w:val="center"/>
          </w:tcPr>
          <w:p w14:paraId="50E2CD16">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rPr>
            </w:pPr>
          </w:p>
        </w:tc>
        <w:tc>
          <w:tcPr>
            <w:tcW w:w="990" w:type="dxa"/>
            <w:vMerge w:val="continue"/>
            <w:tcBorders>
              <w:left w:val="single" w:color="auto" w:sz="4" w:space="0"/>
            </w:tcBorders>
            <w:noWrap w:val="0"/>
            <w:vAlign w:val="center"/>
          </w:tcPr>
          <w:p w14:paraId="7593034E">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rPr>
            </w:pPr>
          </w:p>
        </w:tc>
        <w:tc>
          <w:tcPr>
            <w:tcW w:w="3900" w:type="dxa"/>
            <w:noWrap w:val="0"/>
            <w:vAlign w:val="center"/>
          </w:tcPr>
          <w:p w14:paraId="1B3C381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210" w:firstLineChars="100"/>
              <w:jc w:val="left"/>
              <w:textAlignment w:val="auto"/>
              <w:rPr>
                <w:rFonts w:hint="eastAsia" w:ascii="宋体" w:hAnsi="宋体" w:eastAsia="宋体" w:cs="宋体"/>
                <w:bCs/>
                <w:color w:val="000000" w:themeColor="text1"/>
                <w:kern w:val="2"/>
                <w:sz w:val="21"/>
                <w:szCs w:val="21"/>
                <w:lang w:val="en-US" w:eastAsia="zh-CN" w:bidi="ar-SA"/>
                <w14:textFill>
                  <w14:solidFill>
                    <w14:schemeClr w14:val="tx1"/>
                  </w14:solidFill>
                </w14:textFill>
              </w:rPr>
            </w:pPr>
            <w:r>
              <w:rPr>
                <w:rFonts w:hint="eastAsia" w:ascii="宋体" w:hAnsi="宋体" w:eastAsia="宋体" w:cs="宋体"/>
                <w:bCs/>
                <w:color w:val="000000" w:themeColor="text1"/>
                <w:sz w:val="21"/>
                <w:szCs w:val="21"/>
                <w:lang w:val="en-US" w:eastAsia="zh-CN"/>
                <w14:textFill>
                  <w14:solidFill>
                    <w14:schemeClr w14:val="tx1"/>
                  </w14:solidFill>
                </w14:textFill>
              </w:rPr>
              <w:t>财务报表分析</w:t>
            </w:r>
          </w:p>
        </w:tc>
        <w:tc>
          <w:tcPr>
            <w:tcW w:w="645" w:type="dxa"/>
            <w:noWrap w:val="0"/>
            <w:vAlign w:val="center"/>
          </w:tcPr>
          <w:p w14:paraId="3BDFCF4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jc w:val="center"/>
              <w:textAlignment w:val="auto"/>
              <w:rPr>
                <w:rFonts w:hint="eastAsia" w:ascii="宋体" w:hAnsi="宋体" w:eastAsia="宋体" w:cs="宋体"/>
                <w:sz w:val="21"/>
                <w:szCs w:val="21"/>
              </w:rPr>
            </w:pPr>
            <w:r>
              <w:rPr>
                <w:rFonts w:hint="eastAsia" w:ascii="宋体" w:hAnsi="宋体" w:eastAsia="宋体" w:cs="宋体"/>
                <w:bCs/>
                <w:color w:val="000000" w:themeColor="text1"/>
                <w:sz w:val="21"/>
                <w:szCs w:val="21"/>
                <w14:textFill>
                  <w14:solidFill>
                    <w14:schemeClr w14:val="tx1"/>
                  </w14:solidFill>
                </w14:textFill>
              </w:rPr>
              <w:t>3</w:t>
            </w:r>
          </w:p>
        </w:tc>
        <w:tc>
          <w:tcPr>
            <w:tcW w:w="1607" w:type="dxa"/>
            <w:tcBorders>
              <w:right w:val="single" w:color="auto" w:sz="4" w:space="0"/>
            </w:tcBorders>
            <w:noWrap w:val="0"/>
            <w:vAlign w:val="center"/>
          </w:tcPr>
          <w:p w14:paraId="34F4DE3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jc w:val="center"/>
              <w:textAlignment w:val="auto"/>
              <w:rPr>
                <w:rFonts w:hint="eastAsia" w:ascii="宋体" w:hAnsi="宋体" w:eastAsia="宋体" w:cs="宋体"/>
                <w:color w:val="000000" w:themeColor="text1"/>
                <w:kern w:val="2"/>
                <w:sz w:val="21"/>
                <w:szCs w:val="21"/>
                <w:u w:color="000000"/>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考查</w:t>
            </w:r>
          </w:p>
        </w:tc>
      </w:tr>
      <w:tr w14:paraId="30AEAFE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40" w:hRule="atLeast"/>
          <w:tblCellSpacing w:w="0" w:type="dxa"/>
          <w:jc w:val="center"/>
        </w:trPr>
        <w:tc>
          <w:tcPr>
            <w:tcW w:w="610" w:type="dxa"/>
            <w:vMerge w:val="continue"/>
            <w:noWrap w:val="0"/>
            <w:vAlign w:val="center"/>
          </w:tcPr>
          <w:p w14:paraId="63FD1AFA">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rPr>
            </w:pPr>
          </w:p>
        </w:tc>
        <w:tc>
          <w:tcPr>
            <w:tcW w:w="990" w:type="dxa"/>
            <w:vMerge w:val="continue"/>
            <w:tcBorders>
              <w:left w:val="single" w:color="auto" w:sz="4" w:space="0"/>
            </w:tcBorders>
            <w:noWrap w:val="0"/>
            <w:vAlign w:val="center"/>
          </w:tcPr>
          <w:p w14:paraId="7BD0F99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1"/>
                <w:szCs w:val="21"/>
              </w:rPr>
            </w:pPr>
          </w:p>
        </w:tc>
        <w:tc>
          <w:tcPr>
            <w:tcW w:w="3900" w:type="dxa"/>
            <w:noWrap w:val="0"/>
            <w:vAlign w:val="center"/>
          </w:tcPr>
          <w:p w14:paraId="40EF23E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210" w:firstLineChars="100"/>
              <w:jc w:val="left"/>
              <w:textAlignment w:val="auto"/>
              <w:rPr>
                <w:rFonts w:hint="eastAsia" w:ascii="宋体" w:hAnsi="宋体" w:eastAsia="宋体" w:cs="宋体"/>
                <w:bCs/>
                <w:color w:val="000000" w:themeColor="text1"/>
                <w:kern w:val="2"/>
                <w:sz w:val="21"/>
                <w:szCs w:val="21"/>
                <w:lang w:val="en-US" w:eastAsia="zh-CN" w:bidi="ar-SA"/>
                <w14:textFill>
                  <w14:solidFill>
                    <w14:schemeClr w14:val="tx1"/>
                  </w14:solidFill>
                </w14:textFill>
              </w:rPr>
            </w:pPr>
            <w:r>
              <w:rPr>
                <w:rFonts w:hint="eastAsia" w:ascii="宋体" w:hAnsi="宋体" w:eastAsia="宋体" w:cs="宋体"/>
                <w:bCs/>
                <w:color w:val="000000" w:themeColor="text1"/>
                <w:kern w:val="2"/>
                <w:sz w:val="21"/>
                <w:szCs w:val="21"/>
                <w:lang w:val="en-US" w:eastAsia="zh-CN" w:bidi="ar-SA"/>
                <w14:textFill>
                  <w14:solidFill>
                    <w14:schemeClr w14:val="tx1"/>
                  </w14:solidFill>
                </w14:textFill>
              </w:rPr>
              <w:t>公司金融</w:t>
            </w:r>
          </w:p>
        </w:tc>
        <w:tc>
          <w:tcPr>
            <w:tcW w:w="645" w:type="dxa"/>
            <w:noWrap w:val="0"/>
            <w:vAlign w:val="center"/>
          </w:tcPr>
          <w:p w14:paraId="7B69FAB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jc w:val="center"/>
              <w:textAlignment w:val="auto"/>
              <w:rPr>
                <w:rFonts w:hint="eastAsia" w:ascii="宋体" w:hAnsi="宋体" w:eastAsia="宋体" w:cs="宋体"/>
                <w:sz w:val="21"/>
                <w:szCs w:val="21"/>
              </w:rPr>
            </w:pPr>
            <w:r>
              <w:rPr>
                <w:rFonts w:hint="eastAsia" w:ascii="宋体" w:hAnsi="宋体" w:eastAsia="宋体" w:cs="宋体"/>
                <w:bCs/>
                <w:color w:val="000000" w:themeColor="text1"/>
                <w:sz w:val="21"/>
                <w:szCs w:val="21"/>
                <w14:textFill>
                  <w14:solidFill>
                    <w14:schemeClr w14:val="tx1"/>
                  </w14:solidFill>
                </w14:textFill>
              </w:rPr>
              <w:t>3</w:t>
            </w:r>
          </w:p>
        </w:tc>
        <w:tc>
          <w:tcPr>
            <w:tcW w:w="1607" w:type="dxa"/>
            <w:tcBorders>
              <w:right w:val="single" w:color="auto" w:sz="4" w:space="0"/>
            </w:tcBorders>
            <w:noWrap w:val="0"/>
            <w:vAlign w:val="center"/>
          </w:tcPr>
          <w:p w14:paraId="59106D5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jc w:val="center"/>
              <w:textAlignment w:val="auto"/>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考查</w:t>
            </w:r>
          </w:p>
        </w:tc>
      </w:tr>
      <w:tr w14:paraId="68AF536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40" w:hRule="atLeast"/>
          <w:tblCellSpacing w:w="0" w:type="dxa"/>
          <w:jc w:val="center"/>
        </w:trPr>
        <w:tc>
          <w:tcPr>
            <w:tcW w:w="610" w:type="dxa"/>
            <w:vMerge w:val="continue"/>
            <w:noWrap w:val="0"/>
            <w:vAlign w:val="center"/>
          </w:tcPr>
          <w:p w14:paraId="4EE06167">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rPr>
            </w:pPr>
          </w:p>
        </w:tc>
        <w:tc>
          <w:tcPr>
            <w:tcW w:w="990" w:type="dxa"/>
            <w:vMerge w:val="continue"/>
            <w:tcBorders>
              <w:left w:val="single" w:color="auto" w:sz="4" w:space="0"/>
            </w:tcBorders>
            <w:noWrap w:val="0"/>
            <w:vAlign w:val="center"/>
          </w:tcPr>
          <w:p w14:paraId="2A4340E8">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rPr>
            </w:pPr>
          </w:p>
        </w:tc>
        <w:tc>
          <w:tcPr>
            <w:tcW w:w="3900" w:type="dxa"/>
            <w:noWrap w:val="0"/>
            <w:vAlign w:val="center"/>
          </w:tcPr>
          <w:p w14:paraId="397537F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210" w:firstLineChars="100"/>
              <w:jc w:val="left"/>
              <w:textAlignment w:val="auto"/>
              <w:rPr>
                <w:rFonts w:hint="eastAsia" w:ascii="宋体" w:hAnsi="宋体" w:eastAsia="宋体" w:cs="宋体"/>
                <w:bCs/>
                <w:color w:val="000000" w:themeColor="text1"/>
                <w:sz w:val="21"/>
                <w:szCs w:val="21"/>
                <w:lang w:val="en-US" w:eastAsia="zh-CN"/>
                <w14:textFill>
                  <w14:solidFill>
                    <w14:schemeClr w14:val="tx1"/>
                  </w14:solidFill>
                </w14:textFill>
              </w:rPr>
            </w:pPr>
            <w:r>
              <w:rPr>
                <w:rFonts w:hint="eastAsia" w:ascii="宋体" w:hAnsi="宋体" w:eastAsia="宋体" w:cs="宋体"/>
                <w:bCs/>
                <w:color w:val="000000" w:themeColor="text1"/>
                <w:sz w:val="21"/>
                <w:szCs w:val="21"/>
                <w:lang w:val="en-US" w:eastAsia="zh-CN"/>
                <w14:textFill>
                  <w14:solidFill>
                    <w14:schemeClr w14:val="tx1"/>
                  </w14:solidFill>
                </w14:textFill>
              </w:rPr>
              <w:t>金融学研究方法与论文写作</w:t>
            </w:r>
          </w:p>
        </w:tc>
        <w:tc>
          <w:tcPr>
            <w:tcW w:w="645" w:type="dxa"/>
            <w:noWrap w:val="0"/>
            <w:vAlign w:val="center"/>
          </w:tcPr>
          <w:p w14:paraId="5AD6FB6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jc w:val="center"/>
              <w:textAlignment w:val="auto"/>
              <w:rPr>
                <w:rFonts w:hint="eastAsia" w:ascii="宋体" w:hAnsi="宋体" w:eastAsia="宋体" w:cs="宋体"/>
                <w:bCs/>
                <w:color w:val="000000" w:themeColor="text1"/>
                <w:sz w:val="21"/>
                <w:szCs w:val="21"/>
                <w:lang w:val="en-US" w:eastAsia="zh-CN"/>
                <w14:textFill>
                  <w14:solidFill>
                    <w14:schemeClr w14:val="tx1"/>
                  </w14:solidFill>
                </w14:textFill>
              </w:rPr>
            </w:pPr>
            <w:r>
              <w:rPr>
                <w:rFonts w:hint="eastAsia" w:ascii="宋体" w:hAnsi="宋体" w:eastAsia="宋体" w:cs="宋体"/>
                <w:bCs/>
                <w:color w:val="000000" w:themeColor="text1"/>
                <w:sz w:val="21"/>
                <w:szCs w:val="21"/>
                <w:lang w:val="en-US" w:eastAsia="zh-CN"/>
                <w14:textFill>
                  <w14:solidFill>
                    <w14:schemeClr w14:val="tx1"/>
                  </w14:solidFill>
                </w14:textFill>
              </w:rPr>
              <w:t>3</w:t>
            </w:r>
          </w:p>
        </w:tc>
        <w:tc>
          <w:tcPr>
            <w:tcW w:w="1607" w:type="dxa"/>
            <w:tcBorders>
              <w:right w:val="single" w:color="auto" w:sz="4" w:space="0"/>
            </w:tcBorders>
            <w:noWrap w:val="0"/>
            <w:vAlign w:val="center"/>
          </w:tcPr>
          <w:p w14:paraId="346EBDF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jc w:val="center"/>
              <w:textAlignment w:val="auto"/>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考查</w:t>
            </w:r>
          </w:p>
        </w:tc>
      </w:tr>
      <w:tr w14:paraId="656DEA2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40" w:hRule="atLeast"/>
          <w:tblCellSpacing w:w="0" w:type="dxa"/>
          <w:jc w:val="center"/>
        </w:trPr>
        <w:tc>
          <w:tcPr>
            <w:tcW w:w="610" w:type="dxa"/>
            <w:vMerge w:val="continue"/>
            <w:noWrap w:val="0"/>
            <w:vAlign w:val="center"/>
          </w:tcPr>
          <w:p w14:paraId="329FC6D4">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rPr>
            </w:pPr>
          </w:p>
        </w:tc>
        <w:tc>
          <w:tcPr>
            <w:tcW w:w="990" w:type="dxa"/>
            <w:vMerge w:val="continue"/>
            <w:tcBorders>
              <w:left w:val="single" w:color="auto" w:sz="4" w:space="0"/>
            </w:tcBorders>
            <w:noWrap w:val="0"/>
            <w:vAlign w:val="center"/>
          </w:tcPr>
          <w:p w14:paraId="5DABC20A">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rPr>
            </w:pPr>
          </w:p>
        </w:tc>
        <w:tc>
          <w:tcPr>
            <w:tcW w:w="3900" w:type="dxa"/>
            <w:noWrap w:val="0"/>
            <w:vAlign w:val="center"/>
          </w:tcPr>
          <w:p w14:paraId="39E426A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210" w:firstLineChars="100"/>
              <w:jc w:val="left"/>
              <w:textAlignment w:val="auto"/>
              <w:rPr>
                <w:rFonts w:hint="eastAsia" w:ascii="宋体" w:hAnsi="宋体" w:eastAsia="宋体" w:cs="宋体"/>
                <w:bCs/>
                <w:color w:val="000000" w:themeColor="text1"/>
                <w:kern w:val="2"/>
                <w:sz w:val="21"/>
                <w:szCs w:val="21"/>
                <w:lang w:val="en-US" w:eastAsia="zh-CN" w:bidi="ar-SA"/>
                <w14:textFill>
                  <w14:solidFill>
                    <w14:schemeClr w14:val="tx1"/>
                  </w14:solidFill>
                </w14:textFill>
              </w:rPr>
            </w:pPr>
            <w:r>
              <w:rPr>
                <w:rFonts w:hint="eastAsia" w:ascii="宋体" w:hAnsi="宋体" w:eastAsia="宋体" w:cs="宋体"/>
                <w:bCs/>
                <w:color w:val="000000" w:themeColor="text1"/>
                <w:sz w:val="21"/>
                <w:szCs w:val="21"/>
                <w:lang w:val="en-US" w:eastAsia="zh-CN"/>
                <w14:textFill>
                  <w14:solidFill>
                    <w14:schemeClr w14:val="tx1"/>
                  </w14:solidFill>
                </w14:textFill>
              </w:rPr>
              <w:t>金融衍生工具</w:t>
            </w:r>
          </w:p>
        </w:tc>
        <w:tc>
          <w:tcPr>
            <w:tcW w:w="645" w:type="dxa"/>
            <w:noWrap w:val="0"/>
            <w:vAlign w:val="center"/>
          </w:tcPr>
          <w:p w14:paraId="4CFAA05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jc w:val="center"/>
              <w:textAlignment w:val="auto"/>
              <w:rPr>
                <w:rFonts w:hint="eastAsia" w:ascii="宋体" w:hAnsi="宋体" w:eastAsia="宋体" w:cs="宋体"/>
                <w:sz w:val="21"/>
                <w:szCs w:val="21"/>
                <w:lang w:val="en-US" w:eastAsia="zh-CN"/>
              </w:rPr>
            </w:pPr>
            <w:r>
              <w:rPr>
                <w:rFonts w:hint="eastAsia" w:ascii="宋体" w:hAnsi="宋体" w:eastAsia="宋体" w:cs="宋体"/>
                <w:bCs/>
                <w:color w:val="000000" w:themeColor="text1"/>
                <w:sz w:val="21"/>
                <w:szCs w:val="21"/>
                <w14:textFill>
                  <w14:solidFill>
                    <w14:schemeClr w14:val="tx1"/>
                  </w14:solidFill>
                </w14:textFill>
              </w:rPr>
              <w:t>3</w:t>
            </w:r>
          </w:p>
        </w:tc>
        <w:tc>
          <w:tcPr>
            <w:tcW w:w="1607" w:type="dxa"/>
            <w:tcBorders>
              <w:right w:val="single" w:color="auto" w:sz="4" w:space="0"/>
            </w:tcBorders>
            <w:noWrap w:val="0"/>
            <w:vAlign w:val="center"/>
          </w:tcPr>
          <w:p w14:paraId="6E6C1C3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jc w:val="center"/>
              <w:textAlignment w:val="auto"/>
              <w:rPr>
                <w:rFonts w:hint="eastAsia" w:ascii="宋体" w:hAnsi="宋体" w:eastAsia="宋体" w:cs="宋体"/>
                <w:sz w:val="21"/>
                <w:szCs w:val="21"/>
              </w:rPr>
            </w:pPr>
            <w:r>
              <w:rPr>
                <w:rFonts w:hint="eastAsia" w:ascii="宋体" w:hAnsi="宋体" w:eastAsia="宋体" w:cs="宋体"/>
                <w:color w:val="000000" w:themeColor="text1"/>
                <w:sz w:val="21"/>
                <w:szCs w:val="21"/>
                <w14:textFill>
                  <w14:solidFill>
                    <w14:schemeClr w14:val="tx1"/>
                  </w14:solidFill>
                </w14:textFill>
              </w:rPr>
              <w:t>考查</w:t>
            </w:r>
          </w:p>
        </w:tc>
      </w:tr>
      <w:tr w14:paraId="4459B7D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40" w:hRule="atLeast"/>
          <w:tblCellSpacing w:w="0" w:type="dxa"/>
          <w:jc w:val="center"/>
        </w:trPr>
        <w:tc>
          <w:tcPr>
            <w:tcW w:w="1600" w:type="dxa"/>
            <w:gridSpan w:val="2"/>
            <w:noWrap w:val="0"/>
            <w:vAlign w:val="center"/>
          </w:tcPr>
          <w:p w14:paraId="1B7901AE">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总学分</w:t>
            </w:r>
          </w:p>
        </w:tc>
        <w:tc>
          <w:tcPr>
            <w:tcW w:w="6152" w:type="dxa"/>
            <w:gridSpan w:val="3"/>
            <w:tcBorders>
              <w:bottom w:val="single" w:color="auto" w:sz="4" w:space="0"/>
              <w:right w:val="single" w:color="auto" w:sz="4" w:space="0"/>
            </w:tcBorders>
            <w:noWrap w:val="0"/>
            <w:vAlign w:val="center"/>
          </w:tcPr>
          <w:p w14:paraId="1A61E79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jc w:val="center"/>
              <w:textAlignment w:val="auto"/>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lang w:val="en-US" w:eastAsia="zh-CN"/>
                <w14:textFill>
                  <w14:solidFill>
                    <w14:schemeClr w14:val="tx1"/>
                  </w14:solidFill>
                </w14:textFill>
              </w:rPr>
              <w:t>35学分</w:t>
            </w:r>
          </w:p>
        </w:tc>
      </w:tr>
    </w:tbl>
    <w:p w14:paraId="7B63D402">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八</w:t>
      </w:r>
      <w:r>
        <w:rPr>
          <w:rFonts w:hint="eastAsia" w:ascii="宋体" w:hAnsi="宋体" w:eastAsia="宋体" w:cs="宋体"/>
          <w:b/>
          <w:bCs/>
          <w:sz w:val="21"/>
          <w:szCs w:val="21"/>
        </w:rPr>
        <w:t>、证书颁发</w:t>
      </w:r>
    </w:p>
    <w:p w14:paraId="17A7D9E9">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学员修完所申请专业培养方案规定的课程，且考试成绩合格者，可获得由西北师范大学颁发的项目结业证书或成绩证明。</w:t>
      </w:r>
    </w:p>
    <w:p w14:paraId="400DC3E4">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符合条件的学员，可以按照《国务院学位委员会关于授予具有研究生毕业同等学力人员硕士、博士学位的规定》和《西北师范大学授予具有研究生毕业同等学力人员硕士学位工作管理办法》</w:t>
      </w:r>
      <w:r>
        <w:rPr>
          <w:rFonts w:hint="eastAsia" w:ascii="宋体" w:hAnsi="宋体" w:eastAsia="宋体" w:cs="宋体"/>
          <w:sz w:val="21"/>
          <w:szCs w:val="21"/>
          <w:lang w:val="en-US" w:eastAsia="zh-CN"/>
        </w:rPr>
        <w:t>要求，授予经济学硕士学位。</w:t>
      </w:r>
    </w:p>
    <w:p w14:paraId="56CF489F">
      <w:pPr>
        <w:keepNext w:val="0"/>
        <w:keepLines w:val="0"/>
        <w:pageBreakBefore w:val="0"/>
        <w:widowControl w:val="0"/>
        <w:kinsoku/>
        <w:wordWrap/>
        <w:overflowPunct/>
        <w:topLinePunct w:val="0"/>
        <w:autoSpaceDE/>
        <w:autoSpaceDN/>
        <w:bidi w:val="0"/>
        <w:adjustRightInd/>
        <w:snapToGrid/>
        <w:spacing w:before="313" w:beforeLines="100" w:after="157" w:afterLines="50" w:line="500" w:lineRule="exact"/>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九</w:t>
      </w:r>
      <w:r>
        <w:rPr>
          <w:rFonts w:hint="eastAsia" w:ascii="宋体" w:hAnsi="宋体" w:eastAsia="宋体" w:cs="宋体"/>
          <w:b/>
          <w:bCs/>
          <w:sz w:val="21"/>
          <w:szCs w:val="21"/>
        </w:rPr>
        <w:t>、其他事项</w:t>
      </w:r>
    </w:p>
    <w:p w14:paraId="3426AF60">
      <w:pPr>
        <w:keepNext w:val="0"/>
        <w:keepLines w:val="0"/>
        <w:pageBreakBefore w:val="0"/>
        <w:widowControl w:val="0"/>
        <w:kinsoku/>
        <w:wordWrap/>
        <w:overflowPunct/>
        <w:topLinePunct w:val="0"/>
        <w:autoSpaceDE/>
        <w:autoSpaceDN/>
        <w:bidi w:val="0"/>
        <w:adjustRightInd/>
        <w:snapToGrid/>
        <w:spacing w:line="500" w:lineRule="exact"/>
        <w:ind w:left="480" w:hanging="420" w:hangingChars="200"/>
        <w:textAlignment w:val="auto"/>
        <w:rPr>
          <w:rFonts w:hint="eastAsia" w:ascii="宋体" w:hAnsi="宋体" w:eastAsia="宋体" w:cs="宋体"/>
          <w:sz w:val="21"/>
          <w:szCs w:val="21"/>
        </w:rPr>
      </w:pPr>
      <w:r>
        <w:rPr>
          <w:rFonts w:hint="eastAsia" w:ascii="宋体" w:hAnsi="宋体" w:eastAsia="宋体" w:cs="宋体"/>
          <w:sz w:val="21"/>
          <w:szCs w:val="21"/>
        </w:rPr>
        <w:t>（1）申请人提交的学历证书、学位证书、论文、专著等必须真实有效，凡弄虚作假者，一经查实，立即取消申请资格。</w:t>
      </w:r>
    </w:p>
    <w:p w14:paraId="2259CAC0">
      <w:pPr>
        <w:keepNext w:val="0"/>
        <w:keepLines w:val="0"/>
        <w:pageBreakBefore w:val="0"/>
        <w:widowControl w:val="0"/>
        <w:kinsoku/>
        <w:wordWrap/>
        <w:overflowPunct/>
        <w:topLinePunct w:val="0"/>
        <w:autoSpaceDE/>
        <w:autoSpaceDN/>
        <w:bidi w:val="0"/>
        <w:adjustRightInd/>
        <w:snapToGrid/>
        <w:spacing w:line="500" w:lineRule="exact"/>
        <w:ind w:left="480" w:hanging="420" w:hangingChars="200"/>
        <w:textAlignment w:val="auto"/>
        <w:rPr>
          <w:rFonts w:hint="eastAsia" w:ascii="宋体" w:hAnsi="宋体" w:eastAsia="宋体" w:cs="宋体"/>
          <w:sz w:val="21"/>
          <w:szCs w:val="21"/>
        </w:rPr>
      </w:pPr>
      <w:r>
        <w:rPr>
          <w:rFonts w:hint="eastAsia" w:ascii="宋体" w:hAnsi="宋体" w:eastAsia="宋体" w:cs="宋体"/>
          <w:sz w:val="21"/>
          <w:szCs w:val="21"/>
        </w:rPr>
        <w:t>（2）申请人因个人原因中止学习，须由本人向我校提交中止学习申请书，经批准后办理相关手续，所交费用不予退还。</w:t>
      </w:r>
    </w:p>
    <w:p w14:paraId="4D9DCEC4">
      <w:pPr>
        <w:keepNext w:val="0"/>
        <w:keepLines w:val="0"/>
        <w:pageBreakBefore w:val="0"/>
        <w:widowControl w:val="0"/>
        <w:kinsoku/>
        <w:wordWrap/>
        <w:overflowPunct/>
        <w:topLinePunct w:val="0"/>
        <w:autoSpaceDE/>
        <w:autoSpaceDN/>
        <w:bidi w:val="0"/>
        <w:adjustRightInd/>
        <w:snapToGrid/>
        <w:spacing w:line="500" w:lineRule="exact"/>
        <w:ind w:left="480" w:hanging="420" w:hangingChars="200"/>
        <w:textAlignment w:val="auto"/>
        <w:rPr>
          <w:rFonts w:hint="eastAsia" w:ascii="宋体" w:hAnsi="宋体" w:eastAsia="宋体" w:cs="宋体"/>
          <w:sz w:val="21"/>
          <w:szCs w:val="21"/>
        </w:rPr>
      </w:pPr>
      <w:r>
        <w:rPr>
          <w:rFonts w:hint="eastAsia" w:ascii="宋体" w:hAnsi="宋体" w:eastAsia="宋体" w:cs="宋体"/>
          <w:sz w:val="21"/>
          <w:szCs w:val="21"/>
        </w:rPr>
        <w:t>（3）自本简章发布到资格复核前，如遇国家政策变动，以最新国家政策为准。本简章未尽事宜由西北师范大学负责解释。</w:t>
      </w:r>
      <w:bookmarkStart w:id="0" w:name="_GoBack"/>
      <w:bookmarkEnd w:id="0"/>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FA2E1">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358858">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4358858">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29005">
    <w:pPr>
      <w:pBdr>
        <w:bottom w:val="none" w:color="auto" w:sz="0" w:space="0"/>
      </w:pBdr>
      <w:jc w:val="center"/>
      <w:rPr>
        <w:rFonts w:hint="eastAsia" w:ascii="微软雅黑" w:hAnsi="微软雅黑" w:eastAsia="微软雅黑" w:cs="微软雅黑"/>
        <w:b w:val="0"/>
        <w:bCs w:val="0"/>
        <w:color w:val="auto"/>
        <w:sz w:val="18"/>
        <w:szCs w:val="18"/>
      </w:rPr>
    </w:pPr>
  </w:p>
  <w:p w14:paraId="1DF37354">
    <w:pPr>
      <w:pBdr>
        <w:bottom w:val="single" w:color="auto" w:sz="4" w:space="0"/>
      </w:pBdr>
      <w:jc w:val="right"/>
    </w:pPr>
    <w:r>
      <w:rPr>
        <w:rFonts w:hint="eastAsia" w:ascii="微软雅黑" w:hAnsi="微软雅黑" w:eastAsia="微软雅黑" w:cs="微软雅黑"/>
        <w:b w:val="0"/>
        <w:bCs w:val="0"/>
        <w:color w:val="auto"/>
        <w:sz w:val="20"/>
        <w:szCs w:val="20"/>
      </w:rPr>
      <w:t>西北师范大学</w:t>
    </w:r>
    <w:r>
      <w:rPr>
        <w:rFonts w:hint="eastAsia" w:ascii="微软雅黑" w:hAnsi="微软雅黑" w:eastAsia="微软雅黑" w:cs="微软雅黑"/>
        <w:b w:val="0"/>
        <w:bCs w:val="0"/>
        <w:color w:val="auto"/>
        <w:sz w:val="20"/>
        <w:szCs w:val="20"/>
        <w:lang w:val="en-US" w:eastAsia="zh-CN"/>
      </w:rPr>
      <w:t>同等学力申硕金融学</w:t>
    </w:r>
    <w:r>
      <w:rPr>
        <w:rFonts w:hint="eastAsia" w:ascii="微软雅黑" w:hAnsi="微软雅黑" w:eastAsia="微软雅黑" w:cs="微软雅黑"/>
        <w:b w:val="0"/>
        <w:bCs w:val="0"/>
        <w:color w:val="auto"/>
        <w:sz w:val="20"/>
        <w:szCs w:val="20"/>
      </w:rPr>
      <w:t>专业招生简章</w:t>
    </w: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3707765" cy="3707765"/>
          <wp:effectExtent l="0" t="0" r="10795" b="10795"/>
          <wp:wrapNone/>
          <wp:docPr id="5" name="WordPictureWatermark22135" descr="fbdf96be30cc7f50464fc39752d5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22135" descr="fbdf96be30cc7f50464fc39752d5084"/>
                  <pic:cNvPicPr>
                    <a:picLocks noChangeAspect="1"/>
                  </pic:cNvPicPr>
                </pic:nvPicPr>
                <pic:blipFill>
                  <a:blip r:embed="rId1">
                    <a:lum bright="69998" contrast="-70001"/>
                  </a:blip>
                  <a:stretch>
                    <a:fillRect/>
                  </a:stretch>
                </pic:blipFill>
                <pic:spPr>
                  <a:xfrm>
                    <a:off x="0" y="0"/>
                    <a:ext cx="3707765" cy="3707765"/>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F8332A"/>
    <w:rsid w:val="0387489C"/>
    <w:rsid w:val="07DB1B6C"/>
    <w:rsid w:val="091D6107"/>
    <w:rsid w:val="09B931BA"/>
    <w:rsid w:val="121C7F5C"/>
    <w:rsid w:val="12E25E51"/>
    <w:rsid w:val="14933CCF"/>
    <w:rsid w:val="15477F84"/>
    <w:rsid w:val="164F5135"/>
    <w:rsid w:val="19946A98"/>
    <w:rsid w:val="1C7A4399"/>
    <w:rsid w:val="229748EC"/>
    <w:rsid w:val="22D65E45"/>
    <w:rsid w:val="230F64F3"/>
    <w:rsid w:val="29C5667B"/>
    <w:rsid w:val="2A2A6B98"/>
    <w:rsid w:val="2C6633E4"/>
    <w:rsid w:val="2E325BB7"/>
    <w:rsid w:val="34E243E2"/>
    <w:rsid w:val="3588424E"/>
    <w:rsid w:val="36401170"/>
    <w:rsid w:val="36A33559"/>
    <w:rsid w:val="375D449F"/>
    <w:rsid w:val="3DB2354D"/>
    <w:rsid w:val="42FB023A"/>
    <w:rsid w:val="433A232F"/>
    <w:rsid w:val="48717ADB"/>
    <w:rsid w:val="4C104319"/>
    <w:rsid w:val="4C8060FA"/>
    <w:rsid w:val="4DA3442F"/>
    <w:rsid w:val="4FF8332A"/>
    <w:rsid w:val="5021600C"/>
    <w:rsid w:val="502705F7"/>
    <w:rsid w:val="50FB19A4"/>
    <w:rsid w:val="51A81105"/>
    <w:rsid w:val="544A645E"/>
    <w:rsid w:val="547F1930"/>
    <w:rsid w:val="54AA0053"/>
    <w:rsid w:val="55864655"/>
    <w:rsid w:val="573E734B"/>
    <w:rsid w:val="5E342BC7"/>
    <w:rsid w:val="62A366AD"/>
    <w:rsid w:val="62AA6BB7"/>
    <w:rsid w:val="63264E43"/>
    <w:rsid w:val="694311BC"/>
    <w:rsid w:val="69DF4192"/>
    <w:rsid w:val="6D9B22DA"/>
    <w:rsid w:val="6DC35CB2"/>
    <w:rsid w:val="6F422F31"/>
    <w:rsid w:val="706B321A"/>
    <w:rsid w:val="79EB2390"/>
    <w:rsid w:val="7A9C6FD4"/>
    <w:rsid w:val="7B601320"/>
    <w:rsid w:val="7DE34699"/>
    <w:rsid w:val="7E3E7300"/>
    <w:rsid w:val="7FCE6A37"/>
    <w:rsid w:val="7FF727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Lines="0" w:beforeAutospacing="0" w:afterLines="0" w:afterAutospacing="0" w:line="240" w:lineRule="auto"/>
      <w:outlineLvl w:val="0"/>
    </w:pPr>
    <w:rPr>
      <w:rFonts w:eastAsia="宋体" w:asciiTheme="minorAscii" w:hAnsiTheme="minorAscii"/>
      <w:kern w:val="44"/>
      <w:sz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Indent 2"/>
    <w:basedOn w:val="1"/>
    <w:qFormat/>
    <w:uiPriority w:val="0"/>
    <w:pPr>
      <w:spacing w:line="360" w:lineRule="auto"/>
      <w:ind w:firstLine="442" w:firstLineChars="184"/>
    </w:pPr>
    <w:rPr>
      <w:sz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Strong"/>
    <w:basedOn w:val="8"/>
    <w:qFormat/>
    <w:uiPriority w:val="0"/>
    <w:rPr>
      <w:b/>
    </w:rPr>
  </w:style>
  <w:style w:type="paragraph" w:customStyle="1" w:styleId="10">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1973</Words>
  <Characters>1978</Characters>
  <Lines>0</Lines>
  <Paragraphs>0</Paragraphs>
  <TotalTime>4</TotalTime>
  <ScaleCrop>false</ScaleCrop>
  <LinksUpToDate>false</LinksUpToDate>
  <CharactersWithSpaces>1979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2020-07-02T07:05:00Z</dcterms:created>
  <dc:creator>竹林萱草</dc:creator>
  <cp:lastModifiedBy>Administrator</cp:lastModifiedBy>
  <dcterms:modified xsi:type="dcterms:W3CDTF">2026-01-16T03:08:22Z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7A34E82C3396439BA7F02E5588C572DA</vt:lpwstr>
  </property>
  <property fmtid="{D5CDD505-2E9C-101B-9397-08002B2CF9AE}" pid="4" name="KSOTemplateDocerSaveRecord">
    <vt:lpwstr>eyJoZGlkIjoiMjJkYmYyOGQwNjU2YTFjYjBlYWQzZDdlZjc2Nzk1ZWYifQ==</vt:lpwstr>
  </property>
</Properties>
</file>