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E308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微软雅黑" w:hAnsi="微软雅黑" w:eastAsia="微软雅黑" w:cs="微软雅黑"/>
          <w:b/>
          <w:bCs/>
          <w:color w:val="840000"/>
          <w:sz w:val="36"/>
          <w:szCs w:val="36"/>
        </w:rPr>
      </w:pPr>
      <w:r>
        <w:rPr>
          <w:rFonts w:hint="eastAsia" w:ascii="微软雅黑" w:hAnsi="微软雅黑" w:eastAsia="微软雅黑" w:cs="微软雅黑"/>
          <w:b/>
          <w:bCs/>
          <w:color w:val="840000"/>
          <w:sz w:val="36"/>
          <w:szCs w:val="36"/>
        </w:rPr>
        <w:t>西北师范大学</w:t>
      </w:r>
      <w:r>
        <w:rPr>
          <w:rFonts w:hint="eastAsia" w:ascii="微软雅黑" w:hAnsi="微软雅黑" w:eastAsia="微软雅黑" w:cs="微软雅黑"/>
          <w:b/>
          <w:bCs/>
          <w:color w:val="840000"/>
          <w:sz w:val="36"/>
          <w:szCs w:val="36"/>
          <w:lang w:val="en-US" w:eastAsia="zh-CN"/>
        </w:rPr>
        <w:t>同等学力申硕</w:t>
      </w:r>
      <w:r>
        <w:rPr>
          <w:rFonts w:hint="eastAsia" w:ascii="微软雅黑" w:hAnsi="微软雅黑" w:eastAsia="微软雅黑" w:cs="微软雅黑"/>
          <w:b/>
          <w:i w:val="0"/>
          <w:caps w:val="0"/>
          <w:color w:val="840000"/>
          <w:spacing w:val="0"/>
          <w:sz w:val="36"/>
          <w:szCs w:val="36"/>
          <w:shd w:val="clear" w:color="auto" w:fill="FFFFFF"/>
          <w:lang w:val="en-US" w:eastAsia="zh-CN"/>
        </w:rPr>
        <w:t>课程与教学论（英语）</w:t>
      </w:r>
      <w:r>
        <w:rPr>
          <w:rFonts w:hint="eastAsia" w:ascii="微软雅黑" w:hAnsi="微软雅黑" w:eastAsia="微软雅黑" w:cs="微软雅黑"/>
          <w:b/>
          <w:bCs/>
          <w:color w:val="840000"/>
          <w:sz w:val="36"/>
          <w:szCs w:val="36"/>
        </w:rPr>
        <w:t>专业招生简章</w:t>
      </w:r>
    </w:p>
    <w:p w14:paraId="62D764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r>
        <w:rPr>
          <w:rFonts w:hint="eastAsia" w:ascii="宋体" w:hAnsi="宋体" w:eastAsia="宋体" w:cs="宋体"/>
          <w:b/>
          <w:bCs/>
          <w:sz w:val="24"/>
          <w:szCs w:val="24"/>
        </w:rPr>
        <w:t>一、学科概况</w:t>
      </w:r>
    </w:p>
    <w:p w14:paraId="3A035E0F">
      <w:pPr>
        <w:spacing w:line="48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课程与教学论是教育学二级学科课程与教学论的一个学科分支，涉及学校教育中与英语课程和教学相关的一系列理论与实践问题，其发展同教育学、语言学、心理学、社会学等学科有着十分密切的联系；是一门具有综合性、交叉性、广泛性和实践性等特点的学科。本学科旨在依据语言学、教育学、心理学等相关理论基础，系统深入地研究基础英语课程与教学的基本理论与实践，构建科学的英语课程体系，调查与完善英语课程的实施，探索适合我国国情、符合现代英语教学特点的教学方法，为基础英语教育提供理论指导和实践策略。</w:t>
      </w:r>
    </w:p>
    <w:p w14:paraId="33FDC11D">
      <w:pPr>
        <w:spacing w:line="480" w:lineRule="exact"/>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英语课程与教学论的研究可以运用社会科学的各种研究方法，例如阐释学、叙事研究、话语分析、田野工作等质化研究方法，以及实验研究、社会调查、数学建模等量化研究方法。</w:t>
      </w:r>
    </w:p>
    <w:p w14:paraId="62E83C3D">
      <w:pPr>
        <w:spacing w:line="480" w:lineRule="exact"/>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英语课程与教学论研究方向主要包括：英语教学基本理论、英语课程的设计、实施与评价、英语教学模式、英语教学原则、英语教学方法、语言测试与评价、英语教学中的个体因素与社会文化因素、英语课程标准与英语教学、外语教学改革的理论与实践、国内外现代教学法流派、英语听、说、读、写等教学策略及教学方法研究等；其研究领域涉及：普通语言学，第二语言习得理论</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心理语言学、社会语言学、教育学理论、</w:t>
      </w:r>
      <w:r>
        <w:rPr>
          <w:rFonts w:hint="eastAsia" w:ascii="宋体" w:hAnsi="宋体" w:eastAsia="宋体" w:cs="宋体"/>
          <w:bCs/>
          <w:color w:val="000000" w:themeColor="text1"/>
          <w:sz w:val="21"/>
          <w:szCs w:val="21"/>
          <w14:textFill>
            <w14:solidFill>
              <w14:schemeClr w14:val="tx1"/>
            </w14:solidFill>
          </w14:textFill>
        </w:rPr>
        <w:t>教育心理学，</w:t>
      </w:r>
      <w:r>
        <w:rPr>
          <w:rFonts w:hint="eastAsia" w:ascii="宋体" w:hAnsi="宋体" w:eastAsia="宋体" w:cs="宋体"/>
          <w:color w:val="000000" w:themeColor="text1"/>
          <w:sz w:val="21"/>
          <w:szCs w:val="21"/>
          <w14:textFill>
            <w14:solidFill>
              <w14:schemeClr w14:val="tx1"/>
            </w14:solidFill>
          </w14:textFill>
        </w:rPr>
        <w:t>外语教师教育，英语教育研究方法、现代教育技术、中外外语教育比较等。</w:t>
      </w:r>
    </w:p>
    <w:p w14:paraId="2B0B65CB">
      <w:pPr>
        <w:spacing w:line="480" w:lineRule="exact"/>
        <w:ind w:firstLine="420"/>
        <w:rPr>
          <w:rFonts w:hint="eastAsia" w:ascii="宋体" w:hAnsi="宋体" w:eastAsia="宋体" w:cs="宋体"/>
          <w:color w:val="000000" w:themeColor="text1"/>
          <w:sz w:val="21"/>
          <w:szCs w:val="21"/>
          <w14:textFill>
            <w14:solidFill>
              <w14:schemeClr w14:val="tx1"/>
            </w14:solidFill>
          </w14:textFill>
        </w:rPr>
      </w:pPr>
    </w:p>
    <w:p w14:paraId="43388E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二、培养目标</w:t>
      </w:r>
    </w:p>
    <w:p w14:paraId="6DF135BF">
      <w:pPr>
        <w:spacing w:line="48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本学科致力于培养具有坚定的政治方向、坚实的理论基础、系统的专业知识，视野开阔，精通英语，理念先进，治学严谨，教学能力强，了解和掌握本学科及相关学科的学术研究前沿动态和发展趋势，</w:t>
      </w:r>
      <w:r>
        <w:rPr>
          <w:rFonts w:hint="eastAsia" w:ascii="宋体" w:hAnsi="宋体" w:eastAsia="宋体" w:cs="宋体"/>
          <w:color w:val="000000" w:themeColor="text1"/>
          <w:sz w:val="21"/>
          <w:szCs w:val="21"/>
          <w:shd w:val="clear" w:color="auto" w:fill="FFFFFF"/>
          <w14:textFill>
            <w14:solidFill>
              <w14:schemeClr w14:val="tx1"/>
            </w14:solidFill>
          </w14:textFill>
        </w:rPr>
        <w:t>具有宽广和深厚的语言学及应用语言学、教育学、第二语言课程和教学、现代教育技术、教育测量和统计及方法论等人文社会科学基本知识和研究方法</w:t>
      </w:r>
      <w:r>
        <w:rPr>
          <w:rFonts w:hint="eastAsia" w:ascii="宋体" w:hAnsi="宋体" w:eastAsia="宋体" w:cs="宋体"/>
          <w:color w:val="000000" w:themeColor="text1"/>
          <w:sz w:val="21"/>
          <w:szCs w:val="21"/>
          <w14:textFill>
            <w14:solidFill>
              <w14:schemeClr w14:val="tx1"/>
            </w14:solidFill>
          </w14:textFill>
        </w:rPr>
        <w:t>、熟练运用现代技术的德智体全面发展的高层次外语教育研究、教学以及管理人才，同时为相关专业输送博士研究生。</w:t>
      </w:r>
    </w:p>
    <w:p w14:paraId="5C5AB476">
      <w:pPr>
        <w:spacing w:line="460" w:lineRule="exact"/>
        <w:ind w:firstLine="420" w:firstLineChars="200"/>
        <w:rPr>
          <w:rFonts w:hint="eastAsia" w:ascii="宋体" w:hAnsi="宋体" w:eastAsia="宋体" w:cs="宋体"/>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本专业要求学生具有良好的道德修养和强烈的</w:t>
      </w:r>
      <w:r>
        <w:rPr>
          <w:rFonts w:hint="eastAsia" w:ascii="宋体" w:hAnsi="宋体" w:eastAsia="宋体" w:cs="宋体"/>
          <w:color w:val="000000" w:themeColor="text1"/>
          <w:sz w:val="21"/>
          <w:szCs w:val="21"/>
          <w:shd w:val="clear" w:color="auto" w:fill="FFFFFF"/>
          <w14:textFill>
            <w14:solidFill>
              <w14:schemeClr w14:val="tx1"/>
            </w14:solidFill>
          </w14:textFill>
        </w:rPr>
        <w:t>社会责任感与事业心，</w:t>
      </w:r>
      <w:r>
        <w:rPr>
          <w:rFonts w:hint="eastAsia" w:ascii="宋体" w:hAnsi="宋体" w:eastAsia="宋体" w:cs="宋体"/>
          <w:color w:val="000000" w:themeColor="text1"/>
          <w:sz w:val="21"/>
          <w:szCs w:val="21"/>
          <w14:textFill>
            <w14:solidFill>
              <w14:schemeClr w14:val="tx1"/>
            </w14:solidFill>
          </w14:textFill>
        </w:rPr>
        <w:t>坚持实事求是的科学精神及严谨、求实、勇于探索的治学态度和良好的学风</w:t>
      </w:r>
      <w:r>
        <w:rPr>
          <w:rFonts w:hint="eastAsia" w:ascii="宋体" w:hAnsi="宋体" w:eastAsia="宋体" w:cs="宋体"/>
          <w:color w:val="000000" w:themeColor="text1"/>
          <w:sz w:val="21"/>
          <w:szCs w:val="21"/>
          <w:shd w:val="clear" w:color="auto" w:fill="FFFFFF"/>
          <w14:textFill>
            <w14:solidFill>
              <w14:schemeClr w14:val="tx1"/>
            </w14:solidFill>
          </w14:textFill>
        </w:rPr>
        <w:t>，具有较好的研究潜力与创新意识，有一定独立发现问题、提出问题和解决问题的教育研究和教学改革实践能力，具有较强的学术交流能力和团队合作意识，恪守基本的学术伦理道德。</w:t>
      </w:r>
    </w:p>
    <w:p w14:paraId="39CDD65C">
      <w:pPr>
        <w:spacing w:line="460" w:lineRule="exact"/>
        <w:ind w:firstLine="420" w:firstLineChars="200"/>
        <w:rPr>
          <w:rFonts w:hint="eastAsia" w:ascii="宋体" w:hAnsi="宋体" w:eastAsia="宋体" w:cs="宋体"/>
          <w:color w:val="000000" w:themeColor="text1"/>
          <w:sz w:val="21"/>
          <w:szCs w:val="21"/>
          <w:shd w:val="clear" w:color="auto" w:fill="FFFFFF"/>
          <w14:textFill>
            <w14:solidFill>
              <w14:schemeClr w14:val="tx1"/>
            </w14:solidFill>
          </w14:textFill>
        </w:rPr>
      </w:pPr>
    </w:p>
    <w:p w14:paraId="4517BC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、报名条件</w:t>
      </w:r>
    </w:p>
    <w:p w14:paraId="692D5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1"/>
          <w:szCs w:val="21"/>
        </w:rPr>
      </w:pPr>
      <w:r>
        <w:rPr>
          <w:rFonts w:hint="eastAsia" w:ascii="宋体" w:hAnsi="宋体" w:eastAsia="宋体" w:cs="宋体"/>
          <w:sz w:val="21"/>
          <w:szCs w:val="21"/>
        </w:rPr>
        <w:t>（1）拥护《中华人民共和国宪法》</w:t>
      </w:r>
      <w:r>
        <w:rPr>
          <w:rFonts w:hint="eastAsia" w:ascii="宋体" w:hAnsi="宋体" w:eastAsia="宋体" w:cs="宋体"/>
          <w:sz w:val="21"/>
          <w:szCs w:val="21"/>
          <w:lang w:eastAsia="zh-CN"/>
        </w:rPr>
        <w:t>，</w:t>
      </w:r>
      <w:r>
        <w:rPr>
          <w:rFonts w:hint="eastAsia" w:ascii="宋体" w:hAnsi="宋体" w:eastAsia="宋体" w:cs="宋体"/>
          <w:sz w:val="21"/>
          <w:szCs w:val="21"/>
        </w:rPr>
        <w:t>遵守法律、法规，品行端正。</w:t>
      </w:r>
    </w:p>
    <w:p w14:paraId="67C163CE">
      <w:pPr>
        <w:keepNext w:val="0"/>
        <w:keepLines w:val="0"/>
        <w:pageBreakBefore w:val="0"/>
        <w:widowControl w:val="0"/>
        <w:kinsoku/>
        <w:wordWrap/>
        <w:overflowPunct/>
        <w:topLinePunct w:val="0"/>
        <w:autoSpaceDE/>
        <w:autoSpaceDN/>
        <w:bidi w:val="0"/>
        <w:adjustRightInd/>
        <w:snapToGrid/>
        <w:spacing w:line="560" w:lineRule="exact"/>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2）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6913BD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1"/>
          <w:szCs w:val="21"/>
        </w:rPr>
      </w:pPr>
      <w:r>
        <w:rPr>
          <w:rFonts w:hint="eastAsia" w:ascii="宋体" w:hAnsi="宋体" w:eastAsia="宋体" w:cs="宋体"/>
          <w:sz w:val="21"/>
          <w:szCs w:val="21"/>
        </w:rPr>
        <w:t>（3）有一定专业基础，在教学、科研、专门技术、管理等方面做出成绩。</w:t>
      </w:r>
    </w:p>
    <w:p w14:paraId="056478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1"/>
          <w:szCs w:val="21"/>
          <w:u w:val="single"/>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color w:val="FF0000"/>
          <w:sz w:val="21"/>
          <w:szCs w:val="21"/>
          <w:u w:val="single"/>
          <w:lang w:val="en-US" w:eastAsia="zh-CN"/>
        </w:rPr>
        <w:t>若前置专业非英语相关,请提供大学英语六级证书、专业英语四级证书或雅思考试达到6.0分的成绩单之一。</w:t>
      </w:r>
    </w:p>
    <w:p w14:paraId="343AAA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1"/>
          <w:szCs w:val="21"/>
          <w:u w:val="single"/>
          <w:lang w:val="en-US" w:eastAsia="zh-CN"/>
        </w:rPr>
      </w:pPr>
    </w:p>
    <w:p w14:paraId="58331797">
      <w:pPr>
        <w:keepNext w:val="0"/>
        <w:keepLines w:val="0"/>
        <w:pageBreakBefore w:val="0"/>
        <w:widowControl w:val="0"/>
        <w:numPr>
          <w:ilvl w:val="0"/>
          <w:numId w:val="1"/>
        </w:numPr>
        <w:kinsoku/>
        <w:wordWrap/>
        <w:overflowPunct/>
        <w:topLinePunct w:val="0"/>
        <w:autoSpaceDE/>
        <w:autoSpaceDN/>
        <w:bidi w:val="0"/>
        <w:adjustRightInd/>
        <w:snapToGrid/>
        <w:spacing w:after="157" w:afterLines="50" w:line="560" w:lineRule="exact"/>
        <w:ind w:left="210" w:leftChars="0" w:firstLine="0" w:firstLineChars="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报名</w:t>
      </w:r>
      <w:r>
        <w:rPr>
          <w:rFonts w:hint="eastAsia" w:ascii="宋体" w:hAnsi="宋体" w:eastAsia="宋体" w:cs="宋体"/>
          <w:b/>
          <w:bCs/>
          <w:sz w:val="21"/>
          <w:szCs w:val="21"/>
          <w:lang w:val="en-US" w:eastAsia="zh-CN"/>
        </w:rPr>
        <w:t>方式</w:t>
      </w:r>
    </w:p>
    <w:p w14:paraId="2BB5219F">
      <w:pPr>
        <w:keepNext w:val="0"/>
        <w:keepLines w:val="0"/>
        <w:pageBreakBefore w:val="0"/>
        <w:widowControl w:val="0"/>
        <w:numPr>
          <w:numId w:val="0"/>
        </w:numPr>
        <w:kinsoku/>
        <w:wordWrap/>
        <w:overflowPunct/>
        <w:topLinePunct w:val="0"/>
        <w:autoSpaceDE/>
        <w:autoSpaceDN/>
        <w:bidi w:val="0"/>
        <w:adjustRightInd/>
        <w:snapToGrid/>
        <w:spacing w:after="157" w:afterLines="50" w:line="560" w:lineRule="exact"/>
        <w:ind w:left="210" w:leftChars="0"/>
        <w:textAlignment w:val="auto"/>
        <w:rPr>
          <w:rFonts w:hint="eastAsia" w:ascii="宋体" w:hAnsi="宋体" w:eastAsia="宋体" w:cs="宋体"/>
          <w:sz w:val="21"/>
          <w:szCs w:val="21"/>
        </w:rPr>
      </w:pPr>
      <w:r>
        <w:rPr>
          <w:rFonts w:hint="eastAsia" w:ascii="宋体" w:hAnsi="宋体" w:eastAsia="宋体" w:cs="宋体"/>
          <w:sz w:val="21"/>
          <w:szCs w:val="21"/>
        </w:rPr>
        <w:t>（1）报名需提交本人身份证、学位证书、毕业证书原件扫描件、电子照片（必须是蓝底照片）。报名截止时间以西北师范大学通知为准。</w:t>
      </w:r>
    </w:p>
    <w:p w14:paraId="14A02E2C">
      <w:pPr>
        <w:keepNext w:val="0"/>
        <w:keepLines w:val="0"/>
        <w:pageBreakBefore w:val="0"/>
        <w:widowControl w:val="0"/>
        <w:kinsoku/>
        <w:wordWrap/>
        <w:overflowPunct/>
        <w:topLinePunct w:val="0"/>
        <w:autoSpaceDE/>
        <w:autoSpaceDN/>
        <w:bidi w:val="0"/>
        <w:adjustRightInd/>
        <w:snapToGrid/>
        <w:spacing w:line="560" w:lineRule="exact"/>
        <w:ind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（2）经我校审查报名资格通过后，无需参加入学考试，即可参加我校课程学习。</w:t>
      </w:r>
    </w:p>
    <w:p w14:paraId="22402B9A">
      <w:pPr>
        <w:keepNext w:val="0"/>
        <w:keepLines w:val="0"/>
        <w:pageBreakBefore w:val="0"/>
        <w:widowControl w:val="0"/>
        <w:kinsoku/>
        <w:wordWrap/>
        <w:overflowPunct/>
        <w:topLinePunct w:val="0"/>
        <w:autoSpaceDE/>
        <w:autoSpaceDN/>
        <w:bidi w:val="0"/>
        <w:adjustRightInd/>
        <w:snapToGrid/>
        <w:spacing w:line="560" w:lineRule="exact"/>
        <w:ind w:firstLine="210" w:firstLineChars="100"/>
        <w:textAlignment w:val="auto"/>
        <w:rPr>
          <w:rFonts w:hint="eastAsia" w:ascii="宋体" w:hAnsi="宋体" w:eastAsia="宋体" w:cs="宋体"/>
          <w:sz w:val="21"/>
          <w:szCs w:val="21"/>
        </w:rPr>
      </w:pPr>
    </w:p>
    <w:p w14:paraId="60F3198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五</w:t>
      </w:r>
      <w:r>
        <w:rPr>
          <w:rFonts w:hint="eastAsia" w:ascii="宋体" w:hAnsi="宋体" w:eastAsia="宋体" w:cs="宋体"/>
          <w:b/>
          <w:bCs/>
          <w:sz w:val="21"/>
          <w:szCs w:val="21"/>
        </w:rPr>
        <w:t>、专业优势</w:t>
      </w:r>
    </w:p>
    <w:p w14:paraId="02989DD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【免试入学可申硕】学员达报考条件即可免试入学，满足申硕要求即可申硕考试，边学边</w:t>
      </w:r>
      <w:r>
        <w:rPr>
          <w:rFonts w:hint="eastAsia" w:ascii="宋体" w:hAnsi="宋体" w:eastAsia="宋体" w:cs="宋体"/>
          <w:sz w:val="21"/>
          <w:szCs w:val="21"/>
          <w:lang w:val="en-US" w:eastAsia="zh-CN"/>
        </w:rPr>
        <w:t>考，</w:t>
      </w:r>
      <w:r>
        <w:rPr>
          <w:rFonts w:hint="eastAsia" w:ascii="宋体" w:hAnsi="宋体" w:eastAsia="宋体" w:cs="宋体"/>
          <w:sz w:val="21"/>
          <w:szCs w:val="21"/>
        </w:rPr>
        <w:t>成绩合格者可获取</w:t>
      </w:r>
      <w:r>
        <w:rPr>
          <w:rFonts w:hint="eastAsia" w:ascii="宋体" w:hAnsi="宋体" w:eastAsia="宋体" w:cs="宋体"/>
          <w:sz w:val="21"/>
          <w:szCs w:val="21"/>
          <w:lang w:val="en-US" w:eastAsia="zh-CN"/>
        </w:rPr>
        <w:t>西北师范</w:t>
      </w:r>
      <w:r>
        <w:rPr>
          <w:rFonts w:hint="eastAsia" w:ascii="宋体" w:hAnsi="宋体" w:eastAsia="宋体" w:cs="宋体"/>
          <w:sz w:val="21"/>
          <w:szCs w:val="21"/>
        </w:rPr>
        <w:t>大学硕士学位证书；</w:t>
      </w:r>
    </w:p>
    <w:p w14:paraId="38BCE55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【证书含金量高】学员所获取学位证书学位网可查，证书可用于继续攻读博士学位</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评职称</w:t>
      </w:r>
      <w:r>
        <w:rPr>
          <w:rFonts w:hint="eastAsia" w:ascii="宋体" w:hAnsi="宋体" w:eastAsia="宋体" w:cs="宋体"/>
          <w:sz w:val="21"/>
          <w:szCs w:val="21"/>
        </w:rPr>
        <w:t>以及公务员考试等个人职场提升用途；</w:t>
      </w:r>
    </w:p>
    <w:p w14:paraId="0EA49C8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【学费性价比高】申硕费用低于同类高等院校1-2万元；</w:t>
      </w:r>
    </w:p>
    <w:p w14:paraId="16737F1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【学习方式灵活】全国远程班，学习方式灵活；</w:t>
      </w:r>
    </w:p>
    <w:p w14:paraId="0CA0D3B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【申硕机会多】学校学制保留6年，达申硕条件即可申请</w:t>
      </w:r>
      <w:r>
        <w:rPr>
          <w:rFonts w:hint="eastAsia" w:ascii="宋体" w:hAnsi="宋体" w:eastAsia="宋体" w:cs="宋体"/>
          <w:sz w:val="21"/>
          <w:szCs w:val="21"/>
          <w:lang w:val="en-US" w:eastAsia="zh-CN"/>
        </w:rPr>
        <w:t>4年内</w:t>
      </w:r>
      <w:r>
        <w:rPr>
          <w:rFonts w:hint="eastAsia" w:ascii="宋体" w:hAnsi="宋体" w:eastAsia="宋体" w:cs="宋体"/>
          <w:sz w:val="21"/>
          <w:szCs w:val="21"/>
        </w:rPr>
        <w:t>每年5月同等学力申硕考试；</w:t>
      </w:r>
    </w:p>
    <w:p w14:paraId="1D67812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【申硕通过率高】设申硕考前辅导，360度全方位剖析考纲、考点，提高申硕通过率。</w:t>
      </w:r>
    </w:p>
    <w:p w14:paraId="0B3D35E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p>
    <w:p w14:paraId="7A785AB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ind w:left="210" w:leftChars="0" w:firstLine="0" w:firstLineChars="0"/>
        <w:textAlignment w:val="auto"/>
        <w:rPr>
          <w:rFonts w:hint="eastAsia" w:ascii="宋体" w:hAnsi="宋体" w:eastAsia="宋体" w:cs="宋体"/>
          <w:b/>
          <w:bCs/>
          <w:sz w:val="21"/>
          <w:szCs w:val="21"/>
        </w:rPr>
      </w:pPr>
      <w:r>
        <w:rPr>
          <w:rFonts w:hint="eastAsia" w:ascii="宋体" w:hAnsi="宋体" w:eastAsia="宋体" w:cs="宋体"/>
          <w:b/>
          <w:bCs/>
          <w:sz w:val="21"/>
          <w:szCs w:val="21"/>
        </w:rPr>
        <w:t>课程学习</w:t>
      </w:r>
    </w:p>
    <w:p w14:paraId="4D11B351">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60" w:lineRule="exact"/>
        <w:ind w:left="210" w:leftChars="0"/>
        <w:textAlignment w:val="auto"/>
        <w:rPr>
          <w:rFonts w:hint="eastAsia" w:ascii="宋体" w:hAnsi="宋体" w:eastAsia="宋体" w:cs="宋体"/>
          <w:sz w:val="21"/>
          <w:szCs w:val="21"/>
        </w:rPr>
      </w:pPr>
      <w:r>
        <w:rPr>
          <w:rFonts w:hint="eastAsia" w:ascii="宋体" w:hAnsi="宋体" w:eastAsia="宋体" w:cs="宋体"/>
          <w:sz w:val="21"/>
          <w:szCs w:val="21"/>
        </w:rPr>
        <w:t>（1）学习方式：采取在职不脱产的</w:t>
      </w:r>
      <w:r>
        <w:rPr>
          <w:rFonts w:hint="eastAsia" w:ascii="宋体" w:hAnsi="宋体" w:eastAsia="宋体" w:cs="宋体"/>
          <w:sz w:val="21"/>
          <w:szCs w:val="21"/>
          <w:lang w:eastAsia="zh-CN"/>
        </w:rPr>
        <w:t>网络</w:t>
      </w:r>
      <w:r>
        <w:rPr>
          <w:rFonts w:hint="eastAsia" w:ascii="宋体" w:hAnsi="宋体" w:eastAsia="宋体" w:cs="宋体"/>
          <w:sz w:val="21"/>
          <w:szCs w:val="21"/>
        </w:rPr>
        <w:t>学习方式。</w:t>
      </w:r>
    </w:p>
    <w:p w14:paraId="184BB0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1"/>
          <w:szCs w:val="21"/>
        </w:rPr>
      </w:pPr>
      <w:r>
        <w:rPr>
          <w:rFonts w:hint="eastAsia" w:ascii="宋体" w:hAnsi="宋体" w:eastAsia="宋体" w:cs="宋体"/>
          <w:sz w:val="21"/>
          <w:szCs w:val="21"/>
        </w:rPr>
        <w:t>（2）学习时间：寒假、暑假期间或周末集中</w:t>
      </w:r>
      <w:r>
        <w:rPr>
          <w:rFonts w:hint="eastAsia" w:ascii="宋体" w:hAnsi="宋体" w:eastAsia="宋体" w:cs="宋体"/>
          <w:sz w:val="21"/>
          <w:szCs w:val="21"/>
          <w:lang w:val="en-US" w:eastAsia="zh-CN"/>
        </w:rPr>
        <w:t>线上</w:t>
      </w:r>
      <w:r>
        <w:rPr>
          <w:rFonts w:hint="eastAsia" w:ascii="宋体" w:hAnsi="宋体" w:eastAsia="宋体" w:cs="宋体"/>
          <w:sz w:val="21"/>
          <w:szCs w:val="21"/>
        </w:rPr>
        <w:t>授课。</w:t>
      </w:r>
    </w:p>
    <w:p w14:paraId="4CA976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1"/>
          <w:szCs w:val="21"/>
          <w:lang w:val="en-US" w:eastAsia="zh-CN"/>
        </w:rPr>
      </w:pPr>
    </w:p>
    <w:p w14:paraId="1630D058">
      <w:pPr>
        <w:keepNext w:val="0"/>
        <w:keepLines w:val="0"/>
        <w:pageBreakBefore w:val="0"/>
        <w:widowControl w:val="0"/>
        <w:numPr>
          <w:ilvl w:val="0"/>
          <w:numId w:val="0"/>
        </w:numPr>
        <w:kinsoku/>
        <w:wordWrap/>
        <w:overflowPunct/>
        <w:topLinePunct w:val="0"/>
        <w:autoSpaceDE/>
        <w:autoSpaceDN/>
        <w:bidi w:val="0"/>
        <w:adjustRightInd/>
        <w:snapToGrid/>
        <w:spacing w:before="157" w:beforeLines="50"/>
        <w:textAlignment w:val="auto"/>
        <w:rPr>
          <w:rFonts w:hint="eastAsia" w:ascii="宋体" w:hAnsi="宋体" w:eastAsia="宋体" w:cs="宋体"/>
          <w:sz w:val="21"/>
          <w:szCs w:val="21"/>
        </w:rPr>
      </w:pPr>
      <w:r>
        <w:rPr>
          <w:rFonts w:hint="eastAsia" w:ascii="宋体" w:hAnsi="宋体" w:eastAsia="宋体" w:cs="宋体"/>
          <w:b/>
          <w:bCs/>
          <w:sz w:val="21"/>
          <w:szCs w:val="21"/>
          <w:lang w:val="en-US" w:eastAsia="zh-CN"/>
        </w:rPr>
        <w:t>七、</w:t>
      </w:r>
      <w:r>
        <w:rPr>
          <w:rFonts w:hint="eastAsia" w:ascii="宋体" w:hAnsi="宋体" w:eastAsia="宋体" w:cs="宋体"/>
          <w:b/>
          <w:bCs/>
          <w:sz w:val="21"/>
          <w:szCs w:val="21"/>
        </w:rPr>
        <w:t>课程设置</w:t>
      </w:r>
    </w:p>
    <w:p w14:paraId="1AE3F868">
      <w:pPr>
        <w:spacing w:beforeLines="0" w:after="158" w:afterLines="50" w:line="560" w:lineRule="exact"/>
        <w:jc w:val="center"/>
        <w:rPr>
          <w:rFonts w:hint="eastAsia" w:ascii="宋体" w:hAnsi="宋体" w:eastAsia="宋体" w:cs="宋体"/>
          <w:b/>
          <w:bCs/>
          <w:sz w:val="24"/>
          <w:szCs w:val="24"/>
        </w:rPr>
      </w:pPr>
      <w:r>
        <w:rPr>
          <w:rFonts w:hint="eastAsia" w:ascii="宋体" w:hAnsi="宋体" w:eastAsia="宋体" w:cs="宋体"/>
          <w:b/>
          <w:bCs/>
          <w:sz w:val="24"/>
          <w:szCs w:val="24"/>
        </w:rPr>
        <w:t>课程与教学论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英语）</w:t>
      </w:r>
      <w:r>
        <w:rPr>
          <w:rFonts w:hint="eastAsia" w:ascii="宋体" w:hAnsi="宋体" w:eastAsia="宋体" w:cs="宋体"/>
          <w:b/>
          <w:bCs/>
          <w:sz w:val="24"/>
          <w:szCs w:val="24"/>
        </w:rPr>
        <w:t xml:space="preserve">学术学位硕士研究生课程设置与教学计划表 </w:t>
      </w:r>
    </w:p>
    <w:tbl>
      <w:tblPr>
        <w:tblStyle w:val="6"/>
        <w:tblW w:w="7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017"/>
        <w:gridCol w:w="1253"/>
        <w:gridCol w:w="3415"/>
        <w:gridCol w:w="613"/>
        <w:gridCol w:w="1177"/>
      </w:tblGrid>
      <w:tr w14:paraId="6A7B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54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CC98804">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课程</w:t>
            </w:r>
          </w:p>
          <w:p w14:paraId="0D085411">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类别</w:t>
            </w: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1A0C59F3">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课程代码</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79F710F2">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课程名称</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0662D3A2">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学</w:t>
            </w:r>
          </w:p>
          <w:p w14:paraId="4BCBD2BE">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分</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79E4BC15">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考核</w:t>
            </w:r>
          </w:p>
          <w:p w14:paraId="5E1E5C44">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方式</w:t>
            </w:r>
          </w:p>
        </w:tc>
      </w:tr>
      <w:tr w14:paraId="047D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23" w:type="dxa"/>
            <w:vMerge w:val="restart"/>
            <w:tcBorders>
              <w:top w:val="nil"/>
              <w:left w:val="single" w:color="auto" w:sz="4" w:space="0"/>
              <w:bottom w:val="single" w:color="auto" w:sz="4" w:space="0"/>
              <w:right w:val="single" w:color="auto" w:sz="4" w:space="0"/>
              <w:tl2br w:val="nil"/>
              <w:tr2bl w:val="nil"/>
            </w:tcBorders>
            <w:noWrap w:val="0"/>
            <w:vAlign w:val="center"/>
          </w:tcPr>
          <w:p w14:paraId="34DF0E8B">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必修课</w:t>
            </w:r>
          </w:p>
        </w:tc>
        <w:tc>
          <w:tcPr>
            <w:tcW w:w="1017" w:type="dxa"/>
            <w:vMerge w:val="restart"/>
            <w:tcBorders>
              <w:top w:val="nil"/>
              <w:left w:val="nil"/>
              <w:bottom w:val="single" w:color="auto" w:sz="4" w:space="0"/>
              <w:right w:val="single" w:color="auto" w:sz="4" w:space="0"/>
              <w:tl2br w:val="nil"/>
              <w:tr2bl w:val="nil"/>
            </w:tcBorders>
            <w:noWrap w:val="0"/>
            <w:vAlign w:val="center"/>
          </w:tcPr>
          <w:p w14:paraId="78227EE9">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公共</w:t>
            </w:r>
          </w:p>
          <w:p w14:paraId="39B73295">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必修</w:t>
            </w:r>
          </w:p>
          <w:p w14:paraId="0B73F38F">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w:t>
            </w: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3B1BD163">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M0051001</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0CE8258B">
            <w:pPr>
              <w:spacing w:beforeLines="0" w:afterLines="0" w:line="360" w:lineRule="auto"/>
              <w:rPr>
                <w:rFonts w:hint="eastAsia" w:ascii="宋体" w:hAnsi="宋体" w:eastAsia="宋体" w:cs="宋体"/>
                <w:sz w:val="21"/>
                <w:szCs w:val="21"/>
              </w:rPr>
            </w:pPr>
            <w:r>
              <w:rPr>
                <w:rFonts w:hint="eastAsia" w:ascii="宋体" w:hAnsi="宋体" w:eastAsia="宋体" w:cs="宋体"/>
                <w:sz w:val="21"/>
                <w:szCs w:val="21"/>
              </w:rPr>
              <w:t>中国特色科学社会主义理论与实践研究</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4BFFCC90">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1632FA99">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考试</w:t>
            </w:r>
          </w:p>
        </w:tc>
      </w:tr>
      <w:tr w14:paraId="0BA9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0FC6BF60">
            <w:pPr>
              <w:spacing w:beforeLines="0" w:afterLines="0" w:line="360" w:lineRule="auto"/>
              <w:jc w:val="center"/>
              <w:rPr>
                <w:rFonts w:hint="eastAsia" w:ascii="宋体" w:hAnsi="宋体" w:eastAsia="宋体" w:cs="宋体"/>
                <w:b/>
                <w:sz w:val="21"/>
                <w:szCs w:val="21"/>
              </w:rPr>
            </w:pPr>
          </w:p>
        </w:tc>
        <w:tc>
          <w:tcPr>
            <w:tcW w:w="1017" w:type="dxa"/>
            <w:vMerge w:val="continue"/>
            <w:tcBorders>
              <w:top w:val="nil"/>
              <w:left w:val="nil"/>
              <w:bottom w:val="single" w:color="auto" w:sz="4" w:space="0"/>
              <w:right w:val="single" w:color="auto" w:sz="4" w:space="0"/>
              <w:tl2br w:val="nil"/>
              <w:tr2bl w:val="nil"/>
            </w:tcBorders>
            <w:noWrap w:val="0"/>
            <w:vAlign w:val="center"/>
          </w:tcPr>
          <w:p w14:paraId="7ACE28DB">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0B8C32AD">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M0050005</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062DBE24">
            <w:pPr>
              <w:spacing w:beforeLines="0" w:afterLines="0" w:line="360" w:lineRule="auto"/>
              <w:rPr>
                <w:rFonts w:hint="eastAsia" w:ascii="宋体" w:hAnsi="宋体" w:eastAsia="宋体" w:cs="宋体"/>
                <w:sz w:val="21"/>
                <w:szCs w:val="21"/>
              </w:rPr>
            </w:pPr>
            <w:r>
              <w:rPr>
                <w:rFonts w:hint="eastAsia" w:ascii="宋体" w:hAnsi="宋体" w:eastAsia="宋体" w:cs="宋体"/>
                <w:sz w:val="21"/>
                <w:szCs w:val="21"/>
              </w:rPr>
              <w:t>马克思主义与社会科学方法论</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52826685">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6F2A0839">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考试</w:t>
            </w:r>
          </w:p>
        </w:tc>
      </w:tr>
      <w:tr w14:paraId="1A1E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434F8CA4">
            <w:pPr>
              <w:spacing w:beforeLines="0" w:afterLines="0" w:line="360" w:lineRule="auto"/>
              <w:jc w:val="center"/>
              <w:rPr>
                <w:rFonts w:hint="eastAsia" w:ascii="宋体" w:hAnsi="宋体" w:eastAsia="宋体" w:cs="宋体"/>
                <w:b/>
                <w:sz w:val="21"/>
                <w:szCs w:val="21"/>
              </w:rPr>
            </w:pPr>
          </w:p>
        </w:tc>
        <w:tc>
          <w:tcPr>
            <w:tcW w:w="1017" w:type="dxa"/>
            <w:vMerge w:val="continue"/>
            <w:tcBorders>
              <w:top w:val="nil"/>
              <w:left w:val="nil"/>
              <w:bottom w:val="single" w:color="auto" w:sz="4" w:space="0"/>
              <w:right w:val="single" w:color="auto" w:sz="4" w:space="0"/>
              <w:tl2br w:val="nil"/>
              <w:tr2bl w:val="nil"/>
            </w:tcBorders>
            <w:noWrap w:val="0"/>
            <w:vAlign w:val="center"/>
          </w:tcPr>
          <w:p w14:paraId="759B26B4">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5E6E63F5">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M0101222</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40E46040">
            <w:pPr>
              <w:spacing w:beforeLines="0" w:afterLines="0" w:line="360" w:lineRule="auto"/>
              <w:rPr>
                <w:rFonts w:hint="eastAsia" w:ascii="宋体" w:hAnsi="宋体" w:eastAsia="宋体" w:cs="宋体"/>
                <w:sz w:val="21"/>
                <w:szCs w:val="21"/>
              </w:rPr>
            </w:pPr>
            <w:r>
              <w:rPr>
                <w:rFonts w:hint="eastAsia" w:ascii="宋体" w:hAnsi="宋体" w:eastAsia="宋体" w:cs="宋体"/>
                <w:sz w:val="21"/>
                <w:szCs w:val="21"/>
              </w:rPr>
              <w:t>第一外国语</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463C5B83">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6E7E1DFE">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考试</w:t>
            </w:r>
          </w:p>
        </w:tc>
      </w:tr>
      <w:tr w14:paraId="2766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422D3871">
            <w:pPr>
              <w:spacing w:beforeLines="0" w:afterLines="0" w:line="360" w:lineRule="auto"/>
              <w:jc w:val="center"/>
              <w:rPr>
                <w:rFonts w:hint="eastAsia" w:ascii="宋体" w:hAnsi="宋体" w:eastAsia="宋体" w:cs="宋体"/>
                <w:b/>
                <w:sz w:val="21"/>
                <w:szCs w:val="21"/>
              </w:rPr>
            </w:pPr>
          </w:p>
        </w:tc>
        <w:tc>
          <w:tcPr>
            <w:tcW w:w="1017" w:type="dxa"/>
            <w:vMerge w:val="restart"/>
            <w:tcBorders>
              <w:top w:val="nil"/>
              <w:left w:val="nil"/>
              <w:right w:val="single" w:color="auto" w:sz="4" w:space="0"/>
              <w:tl2br w:val="nil"/>
              <w:tr2bl w:val="nil"/>
            </w:tcBorders>
            <w:noWrap w:val="0"/>
            <w:vAlign w:val="center"/>
          </w:tcPr>
          <w:p w14:paraId="637C9B67">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专业</w:t>
            </w:r>
          </w:p>
          <w:p w14:paraId="0682E1A6">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基础</w:t>
            </w:r>
          </w:p>
          <w:p w14:paraId="5FF79128">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w:t>
            </w: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5C67BB3A">
            <w:pPr>
              <w:adjustRightInd w:val="0"/>
              <w:snapToGrid w:val="0"/>
              <w:spacing w:beforeLines="0" w:afterLines="0" w:line="360" w:lineRule="auto"/>
              <w:jc w:val="center"/>
              <w:rPr>
                <w:rFonts w:hint="eastAsia" w:ascii="宋体" w:hAnsi="宋体" w:eastAsia="宋体" w:cs="宋体"/>
                <w:sz w:val="21"/>
                <w:szCs w:val="21"/>
              </w:rPr>
            </w:pPr>
            <w:r>
              <w:rPr>
                <w:rFonts w:hint="eastAsia" w:ascii="宋体" w:hAnsi="宋体" w:eastAsia="宋体" w:cs="宋体"/>
                <w:kern w:val="0"/>
                <w:sz w:val="21"/>
                <w:szCs w:val="21"/>
              </w:rPr>
              <w:t>M0032801</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6F682857">
            <w:pPr>
              <w:spacing w:beforeLines="0" w:afterLines="0" w:line="360" w:lineRule="auto"/>
              <w:rPr>
                <w:rFonts w:hint="eastAsia" w:ascii="宋体" w:hAnsi="宋体" w:eastAsia="宋体" w:cs="宋体"/>
                <w:sz w:val="21"/>
                <w:szCs w:val="21"/>
              </w:rPr>
            </w:pPr>
            <w:r>
              <w:rPr>
                <w:rFonts w:hint="eastAsia" w:ascii="宋体" w:hAnsi="宋体" w:eastAsia="宋体" w:cs="宋体"/>
                <w:sz w:val="21"/>
                <w:szCs w:val="21"/>
              </w:rPr>
              <w:t>教育原理</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6BCCE121">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0332A075">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3EC4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78A1678D">
            <w:pPr>
              <w:spacing w:beforeLines="0" w:afterLines="0" w:line="360" w:lineRule="auto"/>
              <w:jc w:val="center"/>
              <w:rPr>
                <w:rFonts w:hint="eastAsia" w:ascii="宋体" w:hAnsi="宋体" w:eastAsia="宋体" w:cs="宋体"/>
                <w:b/>
                <w:sz w:val="21"/>
                <w:szCs w:val="21"/>
              </w:rPr>
            </w:pPr>
          </w:p>
        </w:tc>
        <w:tc>
          <w:tcPr>
            <w:tcW w:w="1017" w:type="dxa"/>
            <w:vMerge w:val="continue"/>
            <w:tcBorders>
              <w:left w:val="nil"/>
              <w:right w:val="single" w:color="auto" w:sz="4" w:space="0"/>
              <w:tl2br w:val="nil"/>
              <w:tr2bl w:val="nil"/>
            </w:tcBorders>
            <w:noWrap w:val="0"/>
            <w:vAlign w:val="center"/>
          </w:tcPr>
          <w:p w14:paraId="5D7846B3">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5DFAAFE9">
            <w:pPr>
              <w:adjustRightInd w:val="0"/>
              <w:snapToGrid w:val="0"/>
              <w:spacing w:beforeLines="0" w:afterLines="0" w:line="360" w:lineRule="auto"/>
              <w:jc w:val="center"/>
              <w:rPr>
                <w:rFonts w:hint="eastAsia" w:ascii="宋体" w:hAnsi="宋体" w:eastAsia="宋体" w:cs="宋体"/>
                <w:sz w:val="21"/>
                <w:szCs w:val="21"/>
              </w:rPr>
            </w:pPr>
            <w:r>
              <w:rPr>
                <w:rFonts w:hint="eastAsia" w:ascii="宋体" w:hAnsi="宋体" w:eastAsia="宋体" w:cs="宋体"/>
                <w:kern w:val="0"/>
                <w:sz w:val="21"/>
                <w:szCs w:val="21"/>
              </w:rPr>
              <w:t>M0032802</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59592F02">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教育心理学</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76E3EFEE">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6C0B162A">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69DD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0396FE15">
            <w:pPr>
              <w:spacing w:beforeLines="0" w:afterLines="0" w:line="360" w:lineRule="auto"/>
              <w:jc w:val="center"/>
              <w:rPr>
                <w:rFonts w:hint="eastAsia" w:ascii="宋体" w:hAnsi="宋体" w:eastAsia="宋体" w:cs="宋体"/>
                <w:b/>
                <w:sz w:val="21"/>
                <w:szCs w:val="21"/>
              </w:rPr>
            </w:pPr>
          </w:p>
        </w:tc>
        <w:tc>
          <w:tcPr>
            <w:tcW w:w="1017" w:type="dxa"/>
            <w:vMerge w:val="continue"/>
            <w:tcBorders>
              <w:left w:val="nil"/>
              <w:right w:val="single" w:color="auto" w:sz="4" w:space="0"/>
              <w:tl2br w:val="nil"/>
              <w:tr2bl w:val="nil"/>
            </w:tcBorders>
            <w:noWrap w:val="0"/>
            <w:vAlign w:val="center"/>
          </w:tcPr>
          <w:p w14:paraId="2B6C238B">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16218B3F">
            <w:pPr>
              <w:adjustRightInd w:val="0"/>
              <w:snapToGrid w:val="0"/>
              <w:spacing w:beforeLines="0" w:afterLines="0" w:line="360" w:lineRule="auto"/>
              <w:jc w:val="center"/>
              <w:rPr>
                <w:rFonts w:hint="eastAsia" w:ascii="宋体" w:hAnsi="宋体" w:eastAsia="宋体" w:cs="宋体"/>
                <w:sz w:val="21"/>
                <w:szCs w:val="21"/>
              </w:rPr>
            </w:pPr>
            <w:r>
              <w:rPr>
                <w:rFonts w:hint="eastAsia" w:ascii="宋体" w:hAnsi="宋体" w:eastAsia="宋体" w:cs="宋体"/>
                <w:kern w:val="0"/>
                <w:sz w:val="21"/>
                <w:szCs w:val="21"/>
              </w:rPr>
              <w:t>M0032803</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7169AAA2">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教育科学研究方法</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4A84E39F">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6ADDCE00">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5BCC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196BEE11">
            <w:pPr>
              <w:spacing w:beforeLines="0" w:afterLines="0" w:line="360" w:lineRule="auto"/>
              <w:jc w:val="center"/>
              <w:rPr>
                <w:rFonts w:hint="eastAsia" w:ascii="宋体" w:hAnsi="宋体" w:eastAsia="宋体" w:cs="宋体"/>
                <w:b/>
                <w:sz w:val="21"/>
                <w:szCs w:val="21"/>
              </w:rPr>
            </w:pPr>
          </w:p>
        </w:tc>
        <w:tc>
          <w:tcPr>
            <w:tcW w:w="1017" w:type="dxa"/>
            <w:vMerge w:val="continue"/>
            <w:tcBorders>
              <w:left w:val="nil"/>
              <w:bottom w:val="single" w:color="auto" w:sz="4" w:space="0"/>
              <w:right w:val="single" w:color="auto" w:sz="4" w:space="0"/>
              <w:tl2br w:val="nil"/>
              <w:tr2bl w:val="nil"/>
            </w:tcBorders>
            <w:noWrap w:val="0"/>
            <w:vAlign w:val="center"/>
          </w:tcPr>
          <w:p w14:paraId="6203CFC4">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1E20ABA6">
            <w:pPr>
              <w:adjustRightInd w:val="0"/>
              <w:snapToGrid w:val="0"/>
              <w:spacing w:beforeLines="0" w:afterLines="0" w:line="360" w:lineRule="auto"/>
              <w:jc w:val="center"/>
              <w:rPr>
                <w:rFonts w:hint="eastAsia" w:ascii="宋体" w:hAnsi="宋体" w:eastAsia="宋体" w:cs="宋体"/>
                <w:sz w:val="21"/>
                <w:szCs w:val="21"/>
              </w:rPr>
            </w:pPr>
            <w:r>
              <w:rPr>
                <w:rFonts w:hint="eastAsia" w:ascii="宋体" w:hAnsi="宋体" w:eastAsia="宋体" w:cs="宋体"/>
                <w:kern w:val="0"/>
                <w:sz w:val="21"/>
                <w:szCs w:val="21"/>
              </w:rPr>
              <w:t>M0032804</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1E6207F3">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英语教学论</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0CC4ADE0">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6D94D993">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53BA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4D0432DE">
            <w:pPr>
              <w:spacing w:beforeLines="0" w:afterLines="0" w:line="360" w:lineRule="auto"/>
              <w:jc w:val="center"/>
              <w:rPr>
                <w:rFonts w:hint="eastAsia" w:ascii="宋体" w:hAnsi="宋体" w:eastAsia="宋体" w:cs="宋体"/>
                <w:b/>
                <w:sz w:val="21"/>
                <w:szCs w:val="21"/>
              </w:rPr>
            </w:pPr>
          </w:p>
        </w:tc>
        <w:tc>
          <w:tcPr>
            <w:tcW w:w="1017" w:type="dxa"/>
            <w:vMerge w:val="restart"/>
            <w:tcBorders>
              <w:top w:val="single" w:color="auto" w:sz="4" w:space="0"/>
              <w:left w:val="nil"/>
              <w:right w:val="single" w:color="auto" w:sz="4" w:space="0"/>
              <w:tl2br w:val="nil"/>
              <w:tr2bl w:val="nil"/>
            </w:tcBorders>
            <w:noWrap w:val="0"/>
            <w:vAlign w:val="center"/>
          </w:tcPr>
          <w:p w14:paraId="07601D0C">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专业</w:t>
            </w:r>
          </w:p>
          <w:p w14:paraId="1C4165B1">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必修</w:t>
            </w:r>
          </w:p>
          <w:p w14:paraId="521E7143">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w:t>
            </w: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2291DC9F">
            <w:pPr>
              <w:adjustRightInd w:val="0"/>
              <w:snapToGrid w:val="0"/>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M0033816</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4495CB52">
            <w:pPr>
              <w:spacing w:beforeLines="0" w:afterLines="0" w:line="360" w:lineRule="auto"/>
              <w:jc w:val="left"/>
              <w:rPr>
                <w:rFonts w:hint="eastAsia" w:ascii="宋体" w:hAnsi="宋体" w:eastAsia="宋体" w:cs="宋体"/>
                <w:sz w:val="21"/>
                <w:szCs w:val="21"/>
                <w:lang w:val="en-US"/>
              </w:rPr>
            </w:pPr>
            <w:r>
              <w:rPr>
                <w:rFonts w:hint="eastAsia" w:ascii="宋体" w:hAnsi="宋体" w:eastAsia="宋体" w:cs="宋体"/>
                <w:sz w:val="21"/>
                <w:szCs w:val="21"/>
                <w:lang w:val="en-US" w:eastAsia="zh-CN"/>
              </w:rPr>
              <w:t>普通语言学</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62AF78FF">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4715DFB9">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14EE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4F32AA28">
            <w:pPr>
              <w:spacing w:beforeLines="0" w:afterLines="0" w:line="360" w:lineRule="auto"/>
              <w:jc w:val="center"/>
              <w:rPr>
                <w:rFonts w:hint="eastAsia" w:ascii="宋体" w:hAnsi="宋体" w:eastAsia="宋体" w:cs="宋体"/>
                <w:b/>
                <w:sz w:val="21"/>
                <w:szCs w:val="21"/>
              </w:rPr>
            </w:pPr>
          </w:p>
        </w:tc>
        <w:tc>
          <w:tcPr>
            <w:tcW w:w="1017" w:type="dxa"/>
            <w:vMerge w:val="continue"/>
            <w:tcBorders>
              <w:left w:val="nil"/>
              <w:right w:val="single" w:color="auto" w:sz="4" w:space="0"/>
              <w:tl2br w:val="nil"/>
              <w:tr2bl w:val="nil"/>
            </w:tcBorders>
            <w:noWrap w:val="0"/>
            <w:vAlign w:val="center"/>
          </w:tcPr>
          <w:p w14:paraId="1521C57D">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563BF683">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M0033857</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7C45669D">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基础教育外语课程与教学研究</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6E1DEB95">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33C500BA">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3A7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0254BBAC">
            <w:pPr>
              <w:spacing w:beforeLines="0" w:afterLines="0" w:line="360" w:lineRule="auto"/>
              <w:jc w:val="center"/>
              <w:rPr>
                <w:rFonts w:hint="eastAsia" w:ascii="宋体" w:hAnsi="宋体" w:eastAsia="宋体" w:cs="宋体"/>
                <w:b/>
                <w:sz w:val="21"/>
                <w:szCs w:val="21"/>
              </w:rPr>
            </w:pPr>
          </w:p>
        </w:tc>
        <w:tc>
          <w:tcPr>
            <w:tcW w:w="1017" w:type="dxa"/>
            <w:vMerge w:val="continue"/>
            <w:tcBorders>
              <w:left w:val="nil"/>
              <w:right w:val="single" w:color="auto" w:sz="4" w:space="0"/>
              <w:tl2br w:val="nil"/>
              <w:tr2bl w:val="nil"/>
            </w:tcBorders>
            <w:noWrap w:val="0"/>
            <w:vAlign w:val="center"/>
          </w:tcPr>
          <w:p w14:paraId="4595A706">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0F8FEACD">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M0033858</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48940BC5">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语言学习理论与研究方法</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5AC7F0ED">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11AB21D6">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595B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23" w:type="dxa"/>
            <w:vMerge w:val="continue"/>
            <w:tcBorders>
              <w:top w:val="nil"/>
              <w:left w:val="single" w:color="auto" w:sz="4" w:space="0"/>
              <w:bottom w:val="single" w:color="auto" w:sz="4" w:space="0"/>
              <w:right w:val="single" w:color="auto" w:sz="4" w:space="0"/>
              <w:tl2br w:val="nil"/>
              <w:tr2bl w:val="nil"/>
            </w:tcBorders>
            <w:noWrap w:val="0"/>
            <w:vAlign w:val="center"/>
          </w:tcPr>
          <w:p w14:paraId="7C2C78A5">
            <w:pPr>
              <w:spacing w:beforeLines="0" w:afterLines="0" w:line="360" w:lineRule="auto"/>
              <w:jc w:val="center"/>
              <w:rPr>
                <w:rFonts w:hint="eastAsia" w:ascii="宋体" w:hAnsi="宋体" w:eastAsia="宋体" w:cs="宋体"/>
                <w:b/>
                <w:sz w:val="21"/>
                <w:szCs w:val="21"/>
              </w:rPr>
            </w:pPr>
          </w:p>
        </w:tc>
        <w:tc>
          <w:tcPr>
            <w:tcW w:w="1017" w:type="dxa"/>
            <w:vMerge w:val="continue"/>
            <w:tcBorders>
              <w:left w:val="nil"/>
              <w:bottom w:val="single" w:color="auto" w:sz="4" w:space="0"/>
              <w:right w:val="single" w:color="auto" w:sz="4" w:space="0"/>
              <w:tl2br w:val="nil"/>
              <w:tr2bl w:val="nil"/>
            </w:tcBorders>
            <w:noWrap w:val="0"/>
            <w:vAlign w:val="center"/>
          </w:tcPr>
          <w:p w14:paraId="3A35F5A5">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6F17F93E">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M0033861</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2B1C277C">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外语教师教育</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63C08525">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770C4B6F">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0D2B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23" w:type="dxa"/>
            <w:vMerge w:val="restart"/>
            <w:tcBorders>
              <w:top w:val="nil"/>
              <w:left w:val="single" w:color="auto" w:sz="4" w:space="0"/>
              <w:bottom w:val="single" w:color="auto" w:sz="4" w:space="0"/>
              <w:right w:val="single" w:color="auto" w:sz="4" w:space="0"/>
              <w:tl2br w:val="nil"/>
              <w:tr2bl w:val="nil"/>
            </w:tcBorders>
            <w:noWrap w:val="0"/>
            <w:vAlign w:val="center"/>
          </w:tcPr>
          <w:p w14:paraId="687D8A8B">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选  修  课</w:t>
            </w:r>
          </w:p>
        </w:tc>
        <w:tc>
          <w:tcPr>
            <w:tcW w:w="1017" w:type="dxa"/>
            <w:vMerge w:val="restart"/>
            <w:tcBorders>
              <w:top w:val="nil"/>
              <w:left w:val="nil"/>
              <w:bottom w:val="single" w:color="auto" w:sz="4" w:space="0"/>
              <w:right w:val="single" w:color="auto" w:sz="4" w:space="0"/>
              <w:tl2br w:val="nil"/>
              <w:tr2bl w:val="nil"/>
            </w:tcBorders>
            <w:noWrap w:val="0"/>
            <w:vAlign w:val="center"/>
          </w:tcPr>
          <w:p w14:paraId="4949D4C7">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专业</w:t>
            </w:r>
          </w:p>
          <w:p w14:paraId="5EA36F82">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选修</w:t>
            </w:r>
          </w:p>
          <w:p w14:paraId="0A471292">
            <w:pPr>
              <w:spacing w:beforeLines="0" w:afterLines="0" w:line="360" w:lineRule="auto"/>
              <w:jc w:val="center"/>
              <w:rPr>
                <w:rFonts w:hint="eastAsia" w:ascii="宋体" w:hAnsi="宋体" w:eastAsia="宋体" w:cs="宋体"/>
                <w:b/>
                <w:sz w:val="21"/>
                <w:szCs w:val="21"/>
              </w:rPr>
            </w:pPr>
            <w:r>
              <w:rPr>
                <w:rFonts w:hint="eastAsia" w:ascii="宋体" w:hAnsi="宋体" w:eastAsia="宋体" w:cs="宋体"/>
                <w:b/>
                <w:sz w:val="21"/>
                <w:szCs w:val="21"/>
              </w:rPr>
              <w:t>课</w:t>
            </w: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44B594C7">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M0034817</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58D13B8D">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现代语言教育技术与应用</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6AD04D8F">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27F033EB">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5342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2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51E9C1">
            <w:pPr>
              <w:spacing w:beforeLines="0" w:afterLines="0" w:line="360" w:lineRule="auto"/>
              <w:jc w:val="center"/>
              <w:rPr>
                <w:rFonts w:hint="eastAsia" w:ascii="宋体" w:hAnsi="宋体" w:eastAsia="宋体" w:cs="宋体"/>
                <w:b/>
                <w:sz w:val="21"/>
                <w:szCs w:val="21"/>
              </w:rPr>
            </w:pPr>
          </w:p>
        </w:tc>
        <w:tc>
          <w:tcPr>
            <w:tcW w:w="1017" w:type="dxa"/>
            <w:vMerge w:val="continue"/>
            <w:tcBorders>
              <w:top w:val="single" w:color="auto" w:sz="4" w:space="0"/>
              <w:left w:val="nil"/>
              <w:bottom w:val="single" w:color="auto" w:sz="4" w:space="0"/>
              <w:right w:val="single" w:color="auto" w:sz="4" w:space="0"/>
              <w:tl2br w:val="nil"/>
              <w:tr2bl w:val="nil"/>
            </w:tcBorders>
            <w:noWrap w:val="0"/>
            <w:vAlign w:val="center"/>
          </w:tcPr>
          <w:p w14:paraId="0891EDA4">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1B53FA67">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M0034818</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2E535608">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英语教学设计与实施</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7480FFB5">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5837B625">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34D3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2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65F516">
            <w:pPr>
              <w:spacing w:beforeLines="0" w:afterLines="0" w:line="360" w:lineRule="auto"/>
              <w:jc w:val="center"/>
              <w:rPr>
                <w:rFonts w:hint="eastAsia" w:ascii="宋体" w:hAnsi="宋体" w:eastAsia="宋体" w:cs="宋体"/>
                <w:b/>
                <w:sz w:val="21"/>
                <w:szCs w:val="21"/>
              </w:rPr>
            </w:pPr>
          </w:p>
        </w:tc>
        <w:tc>
          <w:tcPr>
            <w:tcW w:w="1017" w:type="dxa"/>
            <w:vMerge w:val="continue"/>
            <w:tcBorders>
              <w:top w:val="single" w:color="auto" w:sz="4" w:space="0"/>
              <w:left w:val="nil"/>
              <w:bottom w:val="single" w:color="auto" w:sz="4" w:space="0"/>
              <w:right w:val="single" w:color="auto" w:sz="4" w:space="0"/>
              <w:tl2br w:val="nil"/>
              <w:tr2bl w:val="nil"/>
            </w:tcBorders>
            <w:noWrap w:val="0"/>
            <w:vAlign w:val="center"/>
          </w:tcPr>
          <w:p w14:paraId="5A6D51E7">
            <w:pPr>
              <w:spacing w:beforeLines="0" w:afterLines="0" w:line="360" w:lineRule="auto"/>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0"/>
            <w:vAlign w:val="center"/>
          </w:tcPr>
          <w:p w14:paraId="1D3B5FE7">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M0034875</w:t>
            </w:r>
          </w:p>
        </w:tc>
        <w:tc>
          <w:tcPr>
            <w:tcW w:w="3415" w:type="dxa"/>
            <w:tcBorders>
              <w:top w:val="single" w:color="auto" w:sz="4" w:space="0"/>
              <w:left w:val="nil"/>
              <w:bottom w:val="single" w:color="auto" w:sz="4" w:space="0"/>
              <w:right w:val="single" w:color="auto" w:sz="4" w:space="0"/>
              <w:tl2br w:val="nil"/>
              <w:tr2bl w:val="nil"/>
            </w:tcBorders>
            <w:noWrap w:val="0"/>
            <w:vAlign w:val="center"/>
          </w:tcPr>
          <w:p w14:paraId="0907C89B">
            <w:pPr>
              <w:spacing w:beforeLines="0" w:afterLines="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语言研究中的统计应用</w:t>
            </w:r>
          </w:p>
        </w:tc>
        <w:tc>
          <w:tcPr>
            <w:tcW w:w="613" w:type="dxa"/>
            <w:tcBorders>
              <w:top w:val="single" w:color="auto" w:sz="4" w:space="0"/>
              <w:left w:val="nil"/>
              <w:bottom w:val="single" w:color="auto" w:sz="4" w:space="0"/>
              <w:right w:val="single" w:color="auto" w:sz="4" w:space="0"/>
              <w:tl2br w:val="nil"/>
              <w:tr2bl w:val="nil"/>
            </w:tcBorders>
            <w:noWrap w:val="0"/>
            <w:vAlign w:val="center"/>
          </w:tcPr>
          <w:p w14:paraId="409C0E4E">
            <w:pPr>
              <w:spacing w:beforeLines="0" w:afterLines="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177" w:type="dxa"/>
            <w:tcBorders>
              <w:top w:val="single" w:color="auto" w:sz="4" w:space="0"/>
              <w:left w:val="nil"/>
              <w:bottom w:val="single" w:color="auto" w:sz="4" w:space="0"/>
              <w:right w:val="single" w:color="auto" w:sz="4" w:space="0"/>
              <w:tl2br w:val="nil"/>
              <w:tr2bl w:val="nil"/>
            </w:tcBorders>
            <w:noWrap w:val="0"/>
            <w:vAlign w:val="center"/>
          </w:tcPr>
          <w:p w14:paraId="04644553">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课程论文</w:t>
            </w:r>
          </w:p>
        </w:tc>
      </w:tr>
      <w:tr w14:paraId="4925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793" w:type="dxa"/>
            <w:gridSpan w:val="3"/>
            <w:tcBorders>
              <w:top w:val="nil"/>
              <w:left w:val="single" w:color="auto" w:sz="4" w:space="0"/>
              <w:bottom w:val="single" w:color="auto" w:sz="4" w:space="0"/>
              <w:right w:val="single" w:color="auto" w:sz="4" w:space="0"/>
              <w:tl2br w:val="nil"/>
              <w:tr2bl w:val="nil"/>
            </w:tcBorders>
            <w:noWrap w:val="0"/>
            <w:vAlign w:val="center"/>
          </w:tcPr>
          <w:p w14:paraId="148C17AE">
            <w:pPr>
              <w:spacing w:beforeLines="0" w:afterLines="0"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总学分</w:t>
            </w:r>
          </w:p>
        </w:tc>
        <w:tc>
          <w:tcPr>
            <w:tcW w:w="5205" w:type="dxa"/>
            <w:gridSpan w:val="3"/>
            <w:tcBorders>
              <w:top w:val="single" w:color="auto" w:sz="4" w:space="0"/>
              <w:left w:val="nil"/>
              <w:bottom w:val="single" w:color="auto" w:sz="4" w:space="0"/>
              <w:right w:val="single" w:color="auto" w:sz="4" w:space="0"/>
              <w:tl2br w:val="nil"/>
              <w:tr2bl w:val="nil"/>
            </w:tcBorders>
            <w:noWrap w:val="0"/>
            <w:vAlign w:val="center"/>
          </w:tcPr>
          <w:p w14:paraId="77EEE58F">
            <w:pPr>
              <w:spacing w:beforeLines="0" w:afterLines="0"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35学分</w:t>
            </w:r>
          </w:p>
        </w:tc>
      </w:tr>
    </w:tbl>
    <w:p w14:paraId="7DDB13EF">
      <w:pPr>
        <w:spacing w:beforeLines="0" w:afterLines="0"/>
        <w:rPr>
          <w:rFonts w:hint="eastAsia" w:ascii="宋体" w:hAnsi="宋体" w:eastAsia="宋体" w:cs="宋体"/>
          <w:sz w:val="21"/>
          <w:szCs w:val="21"/>
        </w:rPr>
        <w:sectPr>
          <w:pgSz w:w="11906" w:h="16838"/>
          <w:pgMar w:top="1440" w:right="1531" w:bottom="1440" w:left="1587" w:header="1134" w:footer="1134" w:gutter="0"/>
          <w:lnNumType w:countBy="0" w:distance="360"/>
          <w:cols w:space="720" w:num="1"/>
          <w:docGrid w:type="lines" w:linePitch="317" w:charSpace="0"/>
        </w:sectPr>
      </w:pPr>
    </w:p>
    <w:p w14:paraId="5E126D6D">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八</w:t>
      </w:r>
      <w:r>
        <w:rPr>
          <w:rFonts w:hint="eastAsia" w:ascii="宋体" w:hAnsi="宋体" w:eastAsia="宋体" w:cs="宋体"/>
          <w:b/>
          <w:bCs/>
          <w:sz w:val="21"/>
          <w:szCs w:val="21"/>
        </w:rPr>
        <w:t>、证书颁发</w:t>
      </w:r>
    </w:p>
    <w:p w14:paraId="432330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学员修完所申请专业培养方案规定的课程，且考试成绩合格者，可获得由西北师范大学颁发的项目结业证书。</w:t>
      </w:r>
    </w:p>
    <w:p w14:paraId="4C06C4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符合条件的学员，可以按照《国务院学位委员会关于授予具有研究生毕业同等学力人员硕士、博士学位的规定》和《西北师范大学授予具有研究生毕业同等学力人员硕士学位工作管理办法》</w:t>
      </w:r>
      <w:r>
        <w:rPr>
          <w:rFonts w:hint="eastAsia" w:ascii="宋体" w:hAnsi="宋体" w:eastAsia="宋体" w:cs="宋体"/>
          <w:sz w:val="21"/>
          <w:szCs w:val="21"/>
          <w:lang w:val="en-US" w:eastAsia="zh-CN"/>
        </w:rPr>
        <w:t>的要求，授予教育学硕士学位。</w:t>
      </w:r>
    </w:p>
    <w:p w14:paraId="2A7A26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bookmarkStart w:id="0" w:name="_GoBack"/>
      <w:bookmarkEnd w:id="0"/>
    </w:p>
    <w:p w14:paraId="42151C5F">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b/>
          <w:bCs/>
          <w:sz w:val="21"/>
          <w:szCs w:val="21"/>
        </w:rPr>
      </w:pPr>
      <w:r>
        <w:rPr>
          <w:rFonts w:hint="eastAsia" w:ascii="宋体" w:hAnsi="宋体" w:eastAsia="宋体" w:cs="宋体"/>
          <w:sz w:val="21"/>
          <w:szCs w:val="21"/>
        </w:rPr>
        <w:t> </w:t>
      </w:r>
      <w:r>
        <w:rPr>
          <w:rFonts w:hint="eastAsia" w:ascii="宋体" w:hAnsi="宋体" w:eastAsia="宋体" w:cs="宋体"/>
          <w:b/>
          <w:bCs/>
          <w:sz w:val="21"/>
          <w:szCs w:val="21"/>
          <w:lang w:val="en-US" w:eastAsia="zh-CN"/>
        </w:rPr>
        <w:t>九</w:t>
      </w:r>
      <w:r>
        <w:rPr>
          <w:rFonts w:hint="eastAsia" w:ascii="宋体" w:hAnsi="宋体" w:eastAsia="宋体" w:cs="宋体"/>
          <w:b/>
          <w:bCs/>
          <w:sz w:val="21"/>
          <w:szCs w:val="21"/>
        </w:rPr>
        <w:t>、其他事项</w:t>
      </w:r>
    </w:p>
    <w:p w14:paraId="1BE3EBC5">
      <w:pPr>
        <w:keepNext w:val="0"/>
        <w:keepLines w:val="0"/>
        <w:pageBreakBefore w:val="0"/>
        <w:widowControl w:val="0"/>
        <w:kinsoku/>
        <w:wordWrap/>
        <w:overflowPunct/>
        <w:topLinePunct w:val="0"/>
        <w:autoSpaceDE/>
        <w:autoSpaceDN/>
        <w:bidi w:val="0"/>
        <w:adjustRightInd/>
        <w:snapToGrid/>
        <w:spacing w:line="360" w:lineRule="auto"/>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（1）申请人提交的学历证书、学位证书、论文、专著等必须真实有效，凡弄虚作假者，一经查实，立即取消申请资格。</w:t>
      </w:r>
    </w:p>
    <w:p w14:paraId="25E276BD">
      <w:pPr>
        <w:keepNext w:val="0"/>
        <w:keepLines w:val="0"/>
        <w:pageBreakBefore w:val="0"/>
        <w:widowControl w:val="0"/>
        <w:kinsoku/>
        <w:wordWrap/>
        <w:overflowPunct/>
        <w:topLinePunct w:val="0"/>
        <w:autoSpaceDE/>
        <w:autoSpaceDN/>
        <w:bidi w:val="0"/>
        <w:adjustRightInd/>
        <w:snapToGrid/>
        <w:spacing w:line="360" w:lineRule="auto"/>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（2）申请人因个人原因中止学习，须由本人向我校提交中止学习申请书，经批准后办理相关手续，所交费用不予退还。</w:t>
      </w:r>
    </w:p>
    <w:p w14:paraId="60315D3F">
      <w:pPr>
        <w:keepNext w:val="0"/>
        <w:keepLines w:val="0"/>
        <w:pageBreakBefore w:val="0"/>
        <w:widowControl w:val="0"/>
        <w:kinsoku/>
        <w:wordWrap/>
        <w:overflowPunct/>
        <w:topLinePunct w:val="0"/>
        <w:autoSpaceDE/>
        <w:autoSpaceDN/>
        <w:bidi w:val="0"/>
        <w:adjustRightInd/>
        <w:snapToGrid/>
        <w:spacing w:line="360" w:lineRule="auto"/>
        <w:ind w:left="48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（3）自本简章发布到资格复核前，如遇国家政策变动，以最新国家政策为准。本简章未尽事宜由西北师范大学负责解释。</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9654">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0DCDA">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00DCDA">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DE6D5">
    <w:pPr>
      <w:pBdr>
        <w:bottom w:val="none" w:color="auto" w:sz="0" w:space="0"/>
      </w:pBdr>
      <w:jc w:val="right"/>
      <w:rPr>
        <w:rFonts w:hint="eastAsia" w:ascii="宋体" w:hAnsi="宋体" w:eastAsia="宋体" w:cs="宋体"/>
        <w:b/>
        <w:bCs/>
        <w:color w:val="E7E6E6" w:themeColor="background2"/>
        <w:sz w:val="21"/>
        <w:szCs w:val="21"/>
        <w14:textFill>
          <w14:solidFill>
            <w14:schemeClr w14:val="bg2"/>
          </w14:solidFill>
        </w14:textFill>
      </w:rPr>
    </w:pPr>
  </w:p>
  <w:p w14:paraId="17C6A164">
    <w:pPr>
      <w:pBdr>
        <w:bottom w:val="single" w:color="auto" w:sz="4" w:space="0"/>
      </w:pBdr>
      <w:jc w:val="right"/>
    </w:pPr>
    <w:r>
      <w:rPr>
        <w:rFonts w:hint="eastAsia" w:ascii="宋体" w:hAnsi="宋体" w:eastAsia="宋体" w:cs="宋体"/>
        <w:b w:val="0"/>
        <w:bCs w:val="0"/>
        <w:color w:val="auto"/>
        <w:sz w:val="20"/>
        <w:szCs w:val="20"/>
      </w:rPr>
      <w:t>西北师范大学</w:t>
    </w:r>
    <w:r>
      <w:rPr>
        <w:rFonts w:hint="eastAsia" w:ascii="宋体" w:hAnsi="宋体" w:eastAsia="宋体" w:cs="宋体"/>
        <w:b w:val="0"/>
        <w:bCs w:val="0"/>
        <w:i w:val="0"/>
        <w:caps w:val="0"/>
        <w:color w:val="auto"/>
        <w:spacing w:val="0"/>
        <w:sz w:val="20"/>
        <w:szCs w:val="20"/>
        <w:shd w:val="clear" w:color="auto" w:fill="FFFFFF"/>
      </w:rPr>
      <w:t>教育学原理</w:t>
    </w:r>
    <w:r>
      <w:rPr>
        <w:rFonts w:hint="eastAsia" w:ascii="宋体" w:hAnsi="宋体" w:eastAsia="宋体" w:cs="宋体"/>
        <w:b w:val="0"/>
        <w:bCs w:val="0"/>
        <w:color w:val="auto"/>
        <w:sz w:val="20"/>
        <w:szCs w:val="20"/>
      </w:rPr>
      <w:t>专业研修课程招生简章</w:t>
    </w: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707765" cy="3707765"/>
          <wp:effectExtent l="0" t="0" r="10795" b="10795"/>
          <wp:wrapNone/>
          <wp:docPr id="5" name="WordPictureWatermark22135" descr="fbdf96be30cc7f50464fc39752d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2135" descr="fbdf96be30cc7f50464fc39752d5084"/>
                  <pic:cNvPicPr>
                    <a:picLocks noChangeAspect="1"/>
                  </pic:cNvPicPr>
                </pic:nvPicPr>
                <pic:blipFill>
                  <a:blip r:embed="rId1">
                    <a:lum bright="69998" contrast="-70001"/>
                  </a:blip>
                  <a:stretch>
                    <a:fillRect/>
                  </a:stretch>
                </pic:blipFill>
                <pic:spPr>
                  <a:xfrm>
                    <a:off x="0" y="0"/>
                    <a:ext cx="3707765" cy="370776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3A9754"/>
    <w:multiLevelType w:val="singleLevel"/>
    <w:tmpl w:val="7C3A9754"/>
    <w:lvl w:ilvl="0" w:tentative="0">
      <w:start w:val="4"/>
      <w:numFmt w:val="chineseCounting"/>
      <w:suff w:val="nothing"/>
      <w:lvlText w:val="%1、"/>
      <w:lvlJc w:val="left"/>
      <w:pPr>
        <w:ind w:left="21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F8332A"/>
    <w:rsid w:val="004D40A2"/>
    <w:rsid w:val="02790F1E"/>
    <w:rsid w:val="033A3948"/>
    <w:rsid w:val="034434FF"/>
    <w:rsid w:val="0387489C"/>
    <w:rsid w:val="03A01924"/>
    <w:rsid w:val="049D2D0C"/>
    <w:rsid w:val="04B57E1D"/>
    <w:rsid w:val="087F4DD0"/>
    <w:rsid w:val="0A0224C6"/>
    <w:rsid w:val="0AFE122E"/>
    <w:rsid w:val="0B73118F"/>
    <w:rsid w:val="0CC71781"/>
    <w:rsid w:val="0D4B4512"/>
    <w:rsid w:val="0F4869E8"/>
    <w:rsid w:val="113970C8"/>
    <w:rsid w:val="14933CCF"/>
    <w:rsid w:val="18D8349A"/>
    <w:rsid w:val="1B14026A"/>
    <w:rsid w:val="1B880147"/>
    <w:rsid w:val="1CEC4938"/>
    <w:rsid w:val="1ECB17A6"/>
    <w:rsid w:val="21C961EC"/>
    <w:rsid w:val="27E54A3E"/>
    <w:rsid w:val="290F2AC1"/>
    <w:rsid w:val="29C5667B"/>
    <w:rsid w:val="29DF6F70"/>
    <w:rsid w:val="2A8E7F94"/>
    <w:rsid w:val="2D6036E0"/>
    <w:rsid w:val="30CB562A"/>
    <w:rsid w:val="31EC4562"/>
    <w:rsid w:val="3444316F"/>
    <w:rsid w:val="36401170"/>
    <w:rsid w:val="365D4557"/>
    <w:rsid w:val="3DE714D1"/>
    <w:rsid w:val="3E4C6D03"/>
    <w:rsid w:val="3EC51D1D"/>
    <w:rsid w:val="433A232F"/>
    <w:rsid w:val="468D77C6"/>
    <w:rsid w:val="489C119E"/>
    <w:rsid w:val="4B305EC7"/>
    <w:rsid w:val="4C104319"/>
    <w:rsid w:val="4EB77DCA"/>
    <w:rsid w:val="4FF8332A"/>
    <w:rsid w:val="512444C9"/>
    <w:rsid w:val="520E411E"/>
    <w:rsid w:val="53E87059"/>
    <w:rsid w:val="544A645E"/>
    <w:rsid w:val="54AA0053"/>
    <w:rsid w:val="55214668"/>
    <w:rsid w:val="55864655"/>
    <w:rsid w:val="589F015B"/>
    <w:rsid w:val="59E44A6D"/>
    <w:rsid w:val="5A343461"/>
    <w:rsid w:val="5DA90EFE"/>
    <w:rsid w:val="60A84448"/>
    <w:rsid w:val="61D632D9"/>
    <w:rsid w:val="694311BC"/>
    <w:rsid w:val="69963EBD"/>
    <w:rsid w:val="6CAD05CF"/>
    <w:rsid w:val="7469033A"/>
    <w:rsid w:val="76DC569D"/>
    <w:rsid w:val="78276E32"/>
    <w:rsid w:val="78786C26"/>
    <w:rsid w:val="79052300"/>
    <w:rsid w:val="7A391B53"/>
    <w:rsid w:val="7BCC0F45"/>
    <w:rsid w:val="7DE34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outlineLvl w:val="0"/>
    </w:pPr>
    <w:rPr>
      <w:rFonts w:eastAsia="宋体" w:asciiTheme="minorAscii" w:hAnsiTheme="minorAscii"/>
      <w:kern w:val="44"/>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1941</Words>
  <Characters>2049</Characters>
  <Lines>0</Lines>
  <Paragraphs>0</Paragraphs>
  <TotalTime>7</TotalTime>
  <ScaleCrop>false</ScaleCrop>
  <LinksUpToDate>false</LinksUpToDate>
  <CharactersWithSpaces>2080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2020-07-02T07:05:00Z</dcterms:created>
  <dc:creator>竹林萱草</dc:creator>
  <cp:lastModifiedBy>Administrator</cp:lastModifiedBy>
  <dcterms:modified xsi:type="dcterms:W3CDTF">2026-01-16T03:03:48Z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B26C08EEEFA640DEBC32D2F448924434</vt:lpwstr>
  </property>
  <property fmtid="{D5CDD505-2E9C-101B-9397-08002B2CF9AE}" pid="4" name="KSOTemplateDocerSaveRecord">
    <vt:lpwstr>eyJoZGlkIjoiMjJkYmYyOGQwNjU2YTFjYjBlYWQzZDdlZjc2Nzk1ZWYifQ==</vt:lpwstr>
  </property>
</Properties>
</file>