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6" w:line="174" w:lineRule="auto"/>
        <w:jc w:val="center"/>
        <w:rPr>
          <w:rFonts w:ascii="微软雅黑" w:hAnsi="微软雅黑" w:eastAsia="微软雅黑" w:cs="微软雅黑"/>
          <w:spacing w:val="-8"/>
          <w:sz w:val="32"/>
          <w:szCs w:val="32"/>
        </w:rPr>
      </w:pPr>
      <w:r>
        <w:rPr>
          <w:rFonts w:hint="eastAsia" w:ascii="微软雅黑" w:hAnsi="微软雅黑" w:eastAsia="微软雅黑" w:cs="微软雅黑"/>
          <w:spacing w:val="-8"/>
          <w:sz w:val="32"/>
          <w:szCs w:val="32"/>
        </w:rPr>
        <w:t xml:space="preserve">吉 林 农 业 </w:t>
      </w:r>
      <w:r>
        <w:rPr>
          <w:rFonts w:ascii="微软雅黑" w:hAnsi="微软雅黑" w:eastAsia="微软雅黑" w:cs="微软雅黑"/>
          <w:spacing w:val="-8"/>
          <w:sz w:val="32"/>
          <w:szCs w:val="32"/>
        </w:rPr>
        <w:t>大学</w:t>
      </w:r>
    </w:p>
    <w:p>
      <w:pPr>
        <w:spacing w:before="86" w:line="174" w:lineRule="auto"/>
        <w:jc w:val="center"/>
        <w:rPr>
          <w:rFonts w:hint="eastAsia" w:ascii="微软雅黑" w:hAnsi="微软雅黑" w:eastAsia="微软雅黑" w:cs="微软雅黑"/>
          <w:spacing w:val="8"/>
          <w:sz w:val="32"/>
          <w:szCs w:val="32"/>
        </w:rPr>
      </w:pPr>
      <w:r>
        <w:rPr>
          <w:rFonts w:ascii="微软雅黑" w:hAnsi="微软雅黑" w:eastAsia="微软雅黑" w:cs="微软雅黑"/>
          <w:spacing w:val="-8"/>
          <w:sz w:val="32"/>
          <w:szCs w:val="32"/>
        </w:rPr>
        <w:t>202</w:t>
      </w:r>
      <w:r>
        <w:rPr>
          <w:rFonts w:hint="eastAsia" w:ascii="微软雅黑" w:hAnsi="微软雅黑" w:eastAsia="微软雅黑" w:cs="微软雅黑"/>
          <w:spacing w:val="-8"/>
          <w:sz w:val="32"/>
          <w:szCs w:val="32"/>
        </w:rPr>
        <w:t>4</w:t>
      </w:r>
      <w:r>
        <w:rPr>
          <w:rFonts w:ascii="微软雅黑" w:hAnsi="微软雅黑" w:eastAsia="微软雅黑" w:cs="微软雅黑"/>
          <w:spacing w:val="-8"/>
          <w:sz w:val="32"/>
          <w:szCs w:val="32"/>
        </w:rPr>
        <w:t xml:space="preserve"> 年接收在职人员</w:t>
      </w:r>
      <w:r>
        <w:rPr>
          <w:rFonts w:ascii="微软雅黑" w:hAnsi="微软雅黑" w:eastAsia="微软雅黑" w:cs="微软雅黑"/>
          <w:spacing w:val="8"/>
          <w:sz w:val="32"/>
          <w:szCs w:val="32"/>
        </w:rPr>
        <w:t>申请硕士学位</w:t>
      </w:r>
      <w:r>
        <w:rPr>
          <w:rFonts w:hint="eastAsia" w:ascii="微软雅黑" w:hAnsi="微软雅黑" w:eastAsia="微软雅黑" w:cs="微软雅黑"/>
          <w:spacing w:val="8"/>
          <w:sz w:val="32"/>
          <w:szCs w:val="32"/>
        </w:rPr>
        <w:t>（同等学力申硕）</w:t>
      </w:r>
    </w:p>
    <w:p>
      <w:pPr>
        <w:spacing w:before="86" w:line="174" w:lineRule="auto"/>
        <w:jc w:val="center"/>
        <w:rPr>
          <w:rFonts w:ascii="微软雅黑" w:hAnsi="微软雅黑" w:eastAsia="微软雅黑" w:cs="微软雅黑"/>
          <w:sz w:val="32"/>
          <w:szCs w:val="32"/>
        </w:rPr>
      </w:pPr>
      <w:r>
        <w:rPr>
          <w:rFonts w:ascii="微软雅黑" w:hAnsi="微软雅黑" w:eastAsia="微软雅黑" w:cs="微软雅黑"/>
          <w:spacing w:val="8"/>
          <w:sz w:val="32"/>
          <w:szCs w:val="32"/>
        </w:rPr>
        <w:t>招</w:t>
      </w:r>
      <w:r>
        <w:rPr>
          <w:rFonts w:hint="eastAsia" w:ascii="微软雅黑" w:hAnsi="微软雅黑" w:eastAsia="微软雅黑" w:cs="微软雅黑"/>
          <w:spacing w:val="8"/>
          <w:sz w:val="32"/>
          <w:szCs w:val="32"/>
        </w:rPr>
        <w:t xml:space="preserve"> </w:t>
      </w:r>
      <w:r>
        <w:rPr>
          <w:rFonts w:ascii="微软雅黑" w:hAnsi="微软雅黑" w:eastAsia="微软雅黑" w:cs="微软雅黑"/>
          <w:spacing w:val="8"/>
          <w:sz w:val="32"/>
          <w:szCs w:val="32"/>
        </w:rPr>
        <w:t>生</w:t>
      </w:r>
      <w:r>
        <w:rPr>
          <w:rFonts w:hint="eastAsia" w:ascii="微软雅黑" w:hAnsi="微软雅黑" w:eastAsia="微软雅黑" w:cs="微软雅黑"/>
          <w:spacing w:val="8"/>
          <w:sz w:val="32"/>
          <w:szCs w:val="32"/>
        </w:rPr>
        <w:t xml:space="preserve"> </w:t>
      </w:r>
      <w:r>
        <w:rPr>
          <w:rFonts w:ascii="微软雅黑" w:hAnsi="微软雅黑" w:eastAsia="微软雅黑" w:cs="微软雅黑"/>
          <w:spacing w:val="8"/>
          <w:sz w:val="32"/>
          <w:szCs w:val="32"/>
        </w:rPr>
        <w:t>简</w:t>
      </w:r>
      <w:r>
        <w:rPr>
          <w:rFonts w:hint="eastAsia" w:ascii="微软雅黑" w:hAnsi="微软雅黑" w:eastAsia="微软雅黑" w:cs="微软雅黑"/>
          <w:spacing w:val="8"/>
          <w:sz w:val="32"/>
          <w:szCs w:val="32"/>
        </w:rPr>
        <w:t xml:space="preserve"> </w:t>
      </w:r>
      <w:r>
        <w:rPr>
          <w:rFonts w:ascii="微软雅黑" w:hAnsi="微软雅黑" w:eastAsia="微软雅黑" w:cs="微软雅黑"/>
          <w:spacing w:val="8"/>
          <w:sz w:val="32"/>
          <w:szCs w:val="32"/>
        </w:rPr>
        <w:t>章</w:t>
      </w:r>
    </w:p>
    <w:p>
      <w:pPr>
        <w:spacing w:line="262" w:lineRule="auto"/>
      </w:pPr>
    </w:p>
    <w:p>
      <w:pPr>
        <w:spacing w:line="262" w:lineRule="auto"/>
      </w:pPr>
    </w:p>
    <w:p>
      <w:pPr>
        <w:spacing w:line="360" w:lineRule="exact"/>
        <w:ind w:firstLine="472" w:firstLineChars="196"/>
        <w:jc w:val="both"/>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rPr>
        <w:t>一、 学校简介</w:t>
      </w:r>
    </w:p>
    <w:p>
      <w:pPr>
        <w:pStyle w:val="4"/>
        <w:shd w:val="clear" w:color="auto" w:fill="FFFFFF"/>
        <w:spacing w:before="0" w:beforeAutospacing="0" w:after="0" w:afterAutospacing="0" w:line="360" w:lineRule="exact"/>
        <w:ind w:firstLine="480"/>
        <w:jc w:val="both"/>
        <w:rPr>
          <w:rFonts w:asciiTheme="minorEastAsia" w:hAnsiTheme="minorEastAsia" w:eastAsiaTheme="minorEastAsia"/>
        </w:rPr>
      </w:pPr>
      <w:r>
        <w:rPr>
          <w:rFonts w:hint="eastAsia" w:asciiTheme="minorEastAsia" w:hAnsiTheme="minorEastAsia" w:eastAsiaTheme="minorEastAsia"/>
        </w:rPr>
        <w:t>吉林农业大学坐落于吉林省省会长春市，1948年建校，是吉林省省属重点大学，吉林省特色高水平应用研究型大学（A类），吉林省人民政府与农业农村部合作共建大学，吉林省人民政府与中国工程院共建的“中国工程科技发展战略吉林研究院”建设依托单位，中西部高校基础能力建设工程高校；首批教育部、国家外专局“高等学校学科创新引智计划”（“111”计划）省属高校，全国就业典型经验高校，首批50所“全国创新创业典型经验高校”、首批99所国家深化创新创业教育改革示范高校和首批100所国家级创新创业教育实践基地建设单位，教育部首批高等学校科技成果转化和技术转移基地。经过70余年的建设与发展，现已成为以农业和生命科学为优势和特色，农、理、工、医、文、管、法、教、经、艺多学科协调发展的省属重点大学，是国家和区域农业、农村发展不可替代的、重要的人才培养、科技创新和推广服务基地。</w:t>
      </w:r>
    </w:p>
    <w:p>
      <w:pPr>
        <w:pStyle w:val="4"/>
        <w:shd w:val="clear" w:color="auto" w:fill="FFFFFF"/>
        <w:spacing w:before="0" w:beforeAutospacing="0" w:after="0" w:afterAutospacing="0" w:line="360" w:lineRule="exact"/>
        <w:ind w:firstLine="480"/>
        <w:jc w:val="both"/>
        <w:rPr>
          <w:rFonts w:asciiTheme="minorEastAsia" w:hAnsiTheme="minorEastAsia" w:eastAsiaTheme="minorEastAsia"/>
        </w:rPr>
      </w:pPr>
      <w:r>
        <w:rPr>
          <w:rFonts w:hint="eastAsia" w:asciiTheme="minorEastAsia" w:hAnsiTheme="minorEastAsia" w:eastAsiaTheme="minorEastAsia"/>
        </w:rPr>
        <w:t>学校设有22个学院，1个直属教学部门和1个研究生院。是我国首批具有学士、硕士学位授予权的高校，省属院校中最早获得博士学位授权的高校。拥有10个博士学位授权一级学科和9个博士后科研流动站；21个硕士学位授权一级学科，12个硕士专业学位授权类别；1个国家重点（培育）学科，3个部委级重点学科，13个省级特色高水平学科和2个吉林省“世界一流学科培育计划”立项建设学科；植物学与动物学、农业科学和化学3个学科进入ESI全球排名前1%。</w:t>
      </w:r>
    </w:p>
    <w:p>
      <w:pPr>
        <w:spacing w:line="360" w:lineRule="exact"/>
        <w:ind w:firstLine="482" w:firstLineChars="200"/>
        <w:jc w:val="both"/>
        <w:rPr>
          <w:rFonts w:cs="宋体" w:asciiTheme="minorEastAsia" w:hAnsiTheme="minorEastAsia" w:eastAsiaTheme="minorEastAsia"/>
          <w:color w:val="auto"/>
          <w:sz w:val="24"/>
          <w:szCs w:val="24"/>
        </w:rPr>
      </w:pPr>
      <w:r>
        <w:rPr>
          <w:rFonts w:hint="eastAsia" w:cs="宋体" w:asciiTheme="minorEastAsia" w:hAnsiTheme="minorEastAsia" w:eastAsiaTheme="minorEastAsia"/>
          <w:b/>
          <w:color w:val="auto"/>
          <w:sz w:val="24"/>
          <w:szCs w:val="24"/>
        </w:rPr>
        <w:t>二、在职人员申请硕士学位（同等学力申硕）简介</w:t>
      </w:r>
    </w:p>
    <w:p>
      <w:pPr>
        <w:spacing w:line="340" w:lineRule="exact"/>
        <w:ind w:firstLine="64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授予同等学力人员硕士学位工作是国家开辟的一条使具有研究生毕业同等学力水平的在职人员获得硕士学位的渠道。根据《国务院学位委员会关于授予具有研究生毕业同等学力人员硕士、博士学位的规定》，由本人</w:t>
      </w:r>
      <w:r>
        <w:rPr>
          <w:rFonts w:hint="eastAsia" w:cs="仿宋" w:asciiTheme="minorEastAsia" w:hAnsiTheme="minorEastAsia"/>
          <w:bCs/>
          <w:sz w:val="24"/>
        </w:rPr>
        <w:t>向学位授予单位提出申请</w:t>
      </w:r>
      <w:r>
        <w:rPr>
          <w:rFonts w:hint="eastAsia" w:cs="仿宋" w:asciiTheme="minorEastAsia" w:hAnsiTheme="minorEastAsia" w:eastAsiaTheme="minorEastAsia"/>
          <w:bCs/>
          <w:sz w:val="24"/>
        </w:rPr>
        <w:t>，</w:t>
      </w:r>
      <w:r>
        <w:rPr>
          <w:rFonts w:hint="eastAsia" w:cs="仿宋" w:asciiTheme="minorEastAsia" w:hAnsiTheme="minorEastAsia"/>
          <w:bCs/>
          <w:sz w:val="24"/>
        </w:rPr>
        <w:t>通过学位授予单位资格审核后、</w:t>
      </w:r>
      <w:r>
        <w:rPr>
          <w:rFonts w:hint="eastAsia" w:cs="宋体" w:asciiTheme="minorEastAsia" w:hAnsiTheme="minorEastAsia"/>
          <w:sz w:val="24"/>
        </w:rPr>
        <w:t>在规定的期限，通过学校组织的“同等学力水平认定”</w:t>
      </w:r>
      <w:r>
        <w:rPr>
          <w:rFonts w:hint="eastAsia" w:cs="宋体" w:asciiTheme="minorEastAsia" w:hAnsiTheme="minorEastAsia" w:eastAsiaTheme="minorEastAsia"/>
          <w:sz w:val="24"/>
        </w:rPr>
        <w:t>。</w:t>
      </w:r>
      <w:r>
        <w:rPr>
          <w:rFonts w:hint="eastAsia" w:cs="宋体" w:asciiTheme="minorEastAsia" w:hAnsiTheme="minorEastAsia"/>
          <w:sz w:val="24"/>
        </w:rPr>
        <w:t>即通过</w:t>
      </w:r>
      <w:r>
        <w:rPr>
          <w:rFonts w:hint="eastAsia" w:cs="宋体" w:asciiTheme="minorEastAsia" w:hAnsiTheme="minorEastAsia" w:eastAsiaTheme="minorEastAsia"/>
          <w:color w:val="auto"/>
          <w:sz w:val="24"/>
          <w:szCs w:val="24"/>
        </w:rPr>
        <w:t>学校组织的课程考试和国家组织的考试，</w:t>
      </w:r>
      <w:r>
        <w:rPr>
          <w:rFonts w:hint="eastAsia" w:cs="仿宋" w:asciiTheme="minorEastAsia" w:hAnsiTheme="minorEastAsia"/>
          <w:bCs/>
          <w:sz w:val="24"/>
        </w:rPr>
        <w:t>完成学位论文工作，通过论文答辩</w:t>
      </w:r>
      <w:r>
        <w:rPr>
          <w:rFonts w:hint="eastAsia" w:cs="宋体" w:asciiTheme="minorEastAsia" w:hAnsiTheme="minorEastAsia" w:eastAsiaTheme="minorEastAsia"/>
          <w:sz w:val="24"/>
        </w:rPr>
        <w:t>。</w:t>
      </w:r>
      <w:r>
        <w:rPr>
          <w:rFonts w:hint="eastAsia" w:cs="宋体" w:asciiTheme="minorEastAsia" w:hAnsiTheme="minorEastAsia"/>
          <w:sz w:val="24"/>
        </w:rPr>
        <w:t>经学校</w:t>
      </w:r>
      <w:r>
        <w:rPr>
          <w:rFonts w:hint="eastAsia" w:cs="仿宋" w:asciiTheme="minorEastAsia" w:hAnsiTheme="minorEastAsia"/>
          <w:bCs/>
          <w:sz w:val="24"/>
        </w:rPr>
        <w:t>学位授予条件审核，满足相关要求，</w:t>
      </w:r>
      <w:r>
        <w:rPr>
          <w:rFonts w:hint="eastAsia" w:cs="宋体" w:asciiTheme="minorEastAsia" w:hAnsiTheme="minorEastAsia"/>
          <w:sz w:val="24"/>
        </w:rPr>
        <w:t>授予硕士学位</w:t>
      </w:r>
      <w:r>
        <w:rPr>
          <w:rFonts w:hint="eastAsia" w:cs="宋体" w:asciiTheme="minorEastAsia" w:hAnsiTheme="minorEastAsia" w:eastAsiaTheme="minorEastAsia"/>
          <w:sz w:val="24"/>
        </w:rPr>
        <w:t>。</w:t>
      </w:r>
    </w:p>
    <w:p>
      <w:pPr>
        <w:spacing w:line="360" w:lineRule="exact"/>
        <w:ind w:firstLine="472" w:firstLineChars="196"/>
        <w:jc w:val="both"/>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rPr>
        <w:t>三、 报名条件</w:t>
      </w:r>
    </w:p>
    <w:p>
      <w:pPr>
        <w:spacing w:line="360" w:lineRule="exact"/>
        <w:ind w:firstLine="480" w:firstLineChars="200"/>
        <w:jc w:val="both"/>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1．拥护《中华人民共和国宪法》 ,遵守法律、法规，品行端正。</w:t>
      </w:r>
    </w:p>
    <w:p>
      <w:pPr>
        <w:spacing w:line="360" w:lineRule="exact"/>
        <w:ind w:firstLine="480" w:firstLineChars="200"/>
        <w:jc w:val="both"/>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2．具有大学本科学历，获得学士学位， 并获得学士学位后工作三年以上者(含 三年) ；或虽无学士学位但已获得硕士或博士学位者；或通过教育部留学服务中心认证的国（境）外学士（三年及以上）、硕士或博士学位获得者。</w:t>
      </w:r>
    </w:p>
    <w:p>
      <w:pPr>
        <w:spacing w:line="360" w:lineRule="exact"/>
        <w:ind w:firstLine="472" w:firstLineChars="196"/>
        <w:jc w:val="both"/>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rPr>
        <w:t>四、 报名方式</w:t>
      </w:r>
    </w:p>
    <w:p>
      <w:pPr>
        <w:spacing w:line="360" w:lineRule="exact"/>
        <w:ind w:firstLine="482" w:firstLineChars="200"/>
        <w:jc w:val="both"/>
        <w:rPr>
          <w:rFonts w:asciiTheme="minorEastAsia" w:hAnsiTheme="minorEastAsia" w:eastAsiaTheme="minorEastAsia"/>
          <w:color w:val="auto"/>
          <w:u w:val="single"/>
        </w:rPr>
      </w:pPr>
      <w:r>
        <w:rPr>
          <w:rFonts w:hint="eastAsia" w:asciiTheme="minorEastAsia" w:hAnsiTheme="minorEastAsia" w:eastAsiaTheme="minorEastAsia"/>
          <w:b/>
          <w:color w:val="auto"/>
          <w:sz w:val="24"/>
          <w:szCs w:val="24"/>
        </w:rPr>
        <w:t>（一）网上报名：</w:t>
      </w:r>
      <w:r>
        <w:rPr>
          <w:rFonts w:hint="eastAsia" w:cs="宋体" w:asciiTheme="minorEastAsia" w:hAnsiTheme="minorEastAsia" w:eastAsiaTheme="minorEastAsia"/>
          <w:color w:val="auto"/>
          <w:sz w:val="24"/>
          <w:szCs w:val="24"/>
        </w:rPr>
        <w:t>申请人需登陆我校同等学力申硕网络学习平台(http://jlnydx.masterol.cn/)进行在线报名。并完成在</w:t>
      </w:r>
      <w:r>
        <w:rPr>
          <w:rFonts w:hint="eastAsia" w:asciiTheme="minorEastAsia" w:hAnsiTheme="minorEastAsia" w:eastAsiaTheme="minorEastAsia"/>
          <w:color w:val="auto"/>
          <w:sz w:val="24"/>
          <w:szCs w:val="24"/>
        </w:rPr>
        <w:t xml:space="preserve"> “全国同等学力人员申请硕士学位管理工作平台”</w:t>
      </w:r>
      <w:r>
        <w:rPr>
          <w:rFonts w:hint="eastAsia" w:cs="宋体" w:asciiTheme="majorEastAsia" w:hAnsiTheme="majorEastAsia" w:eastAsiaTheme="majorEastAsia"/>
          <w:sz w:val="24"/>
          <w:szCs w:val="24"/>
        </w:rPr>
        <w:t>（学信网https://tdxl.chsi.com.cn/tdxlsqxt/index.html</w:t>
      </w:r>
      <w:r>
        <w:rPr>
          <w:rFonts w:hint="eastAsia" w:cs="宋体" w:asciiTheme="minorEastAsia" w:hAnsiTheme="minorEastAsia" w:eastAsiaTheme="minorEastAsia"/>
          <w:color w:val="auto"/>
          <w:sz w:val="24"/>
          <w:szCs w:val="24"/>
        </w:rPr>
        <w:t>）注册，按要求完善相关信息。</w:t>
      </w:r>
    </w:p>
    <w:p>
      <w:pPr>
        <w:shd w:val="clear" w:color="auto" w:fill="FFFFFF"/>
        <w:spacing w:line="360" w:lineRule="exact"/>
        <w:ind w:firstLine="472" w:firstLineChars="196"/>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（二）现场确认：</w:t>
      </w:r>
      <w:r>
        <w:rPr>
          <w:rFonts w:hint="eastAsia" w:asciiTheme="minorEastAsia" w:hAnsiTheme="minorEastAsia" w:eastAsiaTheme="minorEastAsia"/>
          <w:color w:val="auto"/>
          <w:sz w:val="24"/>
          <w:szCs w:val="24"/>
        </w:rPr>
        <w:t>申请人须在规定时间内，（具体时间另行通知）到学校或指定地点进行现场确认，办理信息及图像采集，并在报名系统打印生成的《同等学力人员申请硕士学位全国统一考试资格审查表》上签字确认。现场确认时需要提交以下材料：</w:t>
      </w:r>
    </w:p>
    <w:p>
      <w:pPr>
        <w:shd w:val="clear" w:color="auto" w:fill="FFFFFF"/>
        <w:spacing w:line="360" w:lineRule="exact"/>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1.身份证（原件及复印件）、网报系统注册的ID号</w:t>
      </w:r>
    </w:p>
    <w:p>
      <w:pPr>
        <w:shd w:val="clear" w:color="auto" w:fill="FFFFFF"/>
        <w:spacing w:line="360" w:lineRule="exact"/>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2.学历和学位证书（原件及复印件）、</w:t>
      </w:r>
      <w:r>
        <w:rPr>
          <w:rFonts w:hint="eastAsia" w:cs="宋体" w:asciiTheme="minorEastAsia" w:hAnsiTheme="minorEastAsia" w:eastAsiaTheme="minorEastAsia"/>
          <w:color w:val="auto"/>
          <w:sz w:val="24"/>
          <w:szCs w:val="24"/>
        </w:rPr>
        <w:t>蓝底证件照片、学位认证报告（学信网查询）、电子注册备案表(电子版)及 复印件(A4纸复印)</w:t>
      </w:r>
    </w:p>
    <w:p>
      <w:pPr>
        <w:shd w:val="clear" w:color="auto" w:fill="FFFFFF"/>
        <w:spacing w:line="360" w:lineRule="exact"/>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3.《吉林农业大学同等学力人员申请硕士学位报名</w:t>
      </w:r>
      <w:r>
        <w:rPr>
          <w:rFonts w:hint="eastAsia" w:cs="宋体" w:asciiTheme="minorEastAsia" w:hAnsiTheme="minorEastAsia" w:eastAsiaTheme="minorEastAsia"/>
          <w:color w:val="auto"/>
          <w:sz w:val="24"/>
          <w:szCs w:val="24"/>
        </w:rPr>
        <w:t>登记表</w:t>
      </w:r>
      <w:r>
        <w:rPr>
          <w:rFonts w:hint="eastAsia" w:asciiTheme="minorEastAsia" w:hAnsiTheme="minorEastAsia" w:eastAsiaTheme="minorEastAsia"/>
          <w:color w:val="auto"/>
          <w:sz w:val="24"/>
          <w:szCs w:val="24"/>
        </w:rPr>
        <w:t>》</w:t>
      </w:r>
      <w:r>
        <w:rPr>
          <w:rFonts w:hint="eastAsia" w:cs="宋体" w:asciiTheme="minorEastAsia" w:hAnsiTheme="minorEastAsia" w:eastAsiaTheme="minorEastAsia"/>
          <w:color w:val="auto"/>
          <w:sz w:val="24"/>
          <w:szCs w:val="24"/>
        </w:rPr>
        <w:t>一式3份；</w:t>
      </w:r>
    </w:p>
    <w:p>
      <w:pPr>
        <w:shd w:val="clear" w:color="auto" w:fill="FFFFFF"/>
        <w:spacing w:line="360" w:lineRule="exact"/>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4.与申请学位专业相关的论文、专著、获奖证书或成果证书等</w:t>
      </w:r>
    </w:p>
    <w:p>
      <w:pPr>
        <w:shd w:val="clear" w:color="auto" w:fill="FFFFFF"/>
        <w:spacing w:line="36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5.《吉林农业大学接受同等学力申请硕士学位入学须知》，一式2份。</w:t>
      </w:r>
    </w:p>
    <w:p>
      <w:pPr>
        <w:spacing w:line="360" w:lineRule="exact"/>
        <w:ind w:firstLine="430"/>
        <w:rPr>
          <w:rFonts w:asciiTheme="minorEastAsia" w:hAnsiTheme="minorEastAsia" w:eastAsiaTheme="minorEastAsia"/>
          <w:color w:val="auto"/>
          <w:sz w:val="24"/>
          <w:szCs w:val="24"/>
        </w:rPr>
      </w:pPr>
      <w:r>
        <w:rPr>
          <w:rFonts w:hint="eastAsia" w:cs="宋体" w:asciiTheme="minorEastAsia" w:hAnsiTheme="minorEastAsia" w:eastAsiaTheme="minorEastAsia"/>
          <w:b/>
          <w:bCs/>
          <w:color w:val="auto"/>
          <w:sz w:val="24"/>
          <w:szCs w:val="24"/>
        </w:rPr>
        <w:t>（三）</w:t>
      </w:r>
      <w:r>
        <w:rPr>
          <w:rFonts w:hint="eastAsia" w:cs="宋体" w:asciiTheme="majorEastAsia" w:hAnsiTheme="majorEastAsia" w:eastAsiaTheme="majorEastAsia"/>
          <w:b/>
          <w:bCs/>
          <w:color w:val="auto"/>
          <w:sz w:val="24"/>
          <w:szCs w:val="24"/>
        </w:rPr>
        <w:t>资格审查：</w:t>
      </w:r>
      <w:r>
        <w:rPr>
          <w:rFonts w:hint="eastAsia" w:cs="宋体" w:asciiTheme="majorEastAsia" w:hAnsiTheme="majorEastAsia" w:eastAsiaTheme="majorEastAsia"/>
          <w:bCs/>
          <w:color w:val="auto"/>
          <w:sz w:val="24"/>
          <w:szCs w:val="24"/>
        </w:rPr>
        <w:t>学校</w:t>
      </w:r>
      <w:r>
        <w:rPr>
          <w:rFonts w:hint="eastAsia" w:cs="宋体" w:asciiTheme="majorEastAsia" w:hAnsiTheme="majorEastAsia" w:eastAsiaTheme="majorEastAsia"/>
          <w:color w:val="auto"/>
          <w:sz w:val="24"/>
          <w:szCs w:val="24"/>
        </w:rPr>
        <w:t>对申请人报名资格进行审核，通过审查的名单在研究生院和继续教育学院（同等学力）网页上公布。资格审查通过并下发入学须知办理相关学习手续，与在校研究生同步进行课程学习。</w:t>
      </w:r>
    </w:p>
    <w:p>
      <w:pPr>
        <w:spacing w:line="360" w:lineRule="exact"/>
        <w:ind w:firstLine="472" w:firstLineChars="196"/>
        <w:rPr>
          <w:rFonts w:ascii="宋体" w:hAnsi="宋体" w:eastAsia="宋体" w:cs="宋体"/>
          <w:b/>
          <w:color w:val="auto"/>
          <w:sz w:val="24"/>
          <w:szCs w:val="24"/>
        </w:rPr>
      </w:pPr>
      <w:r>
        <w:rPr>
          <w:rFonts w:hint="eastAsia" w:ascii="宋体" w:hAnsi="宋体" w:eastAsia="宋体" w:cs="宋体"/>
          <w:b/>
          <w:color w:val="auto"/>
          <w:sz w:val="24"/>
          <w:szCs w:val="24"/>
        </w:rPr>
        <w:t>五、招生学科专业及统考科目</w:t>
      </w:r>
    </w:p>
    <w:tbl>
      <w:tblPr>
        <w:tblStyle w:val="5"/>
        <w:tblW w:w="8899" w:type="dxa"/>
        <w:tblInd w:w="98" w:type="dxa"/>
        <w:tblLayout w:type="fixed"/>
        <w:tblCellMar>
          <w:top w:w="0" w:type="dxa"/>
          <w:left w:w="108" w:type="dxa"/>
          <w:bottom w:w="0" w:type="dxa"/>
          <w:right w:w="108" w:type="dxa"/>
        </w:tblCellMar>
      </w:tblPr>
      <w:tblGrid>
        <w:gridCol w:w="1656"/>
        <w:gridCol w:w="906"/>
        <w:gridCol w:w="2082"/>
        <w:gridCol w:w="1178"/>
        <w:gridCol w:w="876"/>
        <w:gridCol w:w="1182"/>
        <w:gridCol w:w="1019"/>
      </w:tblGrid>
      <w:tr>
        <w:tblPrEx>
          <w:tblCellMar>
            <w:top w:w="0" w:type="dxa"/>
            <w:left w:w="108" w:type="dxa"/>
            <w:bottom w:w="0" w:type="dxa"/>
            <w:right w:w="108" w:type="dxa"/>
          </w:tblCellMar>
        </w:tblPrEx>
        <w:trPr>
          <w:trHeight w:val="30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招生学院</w:t>
            </w: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专业代码</w:t>
            </w:r>
          </w:p>
        </w:tc>
        <w:tc>
          <w:tcPr>
            <w:tcW w:w="20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招生专业</w:t>
            </w:r>
          </w:p>
        </w:tc>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微软雅黑" w:hAnsi="微软雅黑" w:eastAsia="微软雅黑" w:cs="微软雅黑"/>
                <w:b/>
                <w:bCs/>
                <w:sz w:val="16"/>
                <w:szCs w:val="16"/>
              </w:rPr>
            </w:pPr>
            <w:r>
              <w:rPr>
                <w:rFonts w:hint="eastAsia" w:ascii="微软雅黑" w:hAnsi="微软雅黑" w:eastAsia="微软雅黑" w:cs="微软雅黑"/>
                <w:b/>
                <w:bCs/>
                <w:sz w:val="16"/>
                <w:szCs w:val="16"/>
              </w:rPr>
              <w:t>是否按</w:t>
            </w:r>
          </w:p>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一级学科招生</w:t>
            </w:r>
          </w:p>
        </w:tc>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授予</w:t>
            </w:r>
          </w:p>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学位</w:t>
            </w:r>
          </w:p>
        </w:tc>
        <w:tc>
          <w:tcPr>
            <w:tcW w:w="22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统考科目</w:t>
            </w: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b/>
                <w:bCs/>
                <w:sz w:val="16"/>
                <w:szCs w:val="16"/>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b/>
                <w:bCs/>
                <w:sz w:val="16"/>
                <w:szCs w:val="16"/>
              </w:rPr>
            </w:pPr>
          </w:p>
        </w:tc>
        <w:tc>
          <w:tcPr>
            <w:tcW w:w="20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b/>
                <w:bCs/>
                <w:sz w:val="16"/>
                <w:szCs w:val="16"/>
              </w:rPr>
            </w:pP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b/>
                <w:bCs/>
                <w:sz w:val="16"/>
                <w:szCs w:val="16"/>
              </w:rPr>
            </w:pPr>
          </w:p>
        </w:tc>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b/>
                <w:bCs/>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学科综合</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b/>
                <w:bCs/>
                <w:sz w:val="16"/>
                <w:szCs w:val="16"/>
              </w:rPr>
            </w:pPr>
            <w:r>
              <w:rPr>
                <w:rFonts w:hint="eastAsia" w:ascii="微软雅黑" w:hAnsi="微软雅黑" w:eastAsia="微软雅黑" w:cs="微软雅黑"/>
                <w:b/>
                <w:bCs/>
                <w:sz w:val="16"/>
                <w:szCs w:val="16"/>
              </w:rPr>
              <w:t>外国语水平</w:t>
            </w: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中药材学院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071300</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生态学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是</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理学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英语/日语</w:t>
            </w:r>
            <w:r>
              <w:rPr>
                <w:rFonts w:hint="eastAsia" w:ascii="微软雅黑" w:hAnsi="微软雅黑" w:eastAsia="微软雅黑" w:cs="微软雅黑"/>
                <w:sz w:val="16"/>
                <w:szCs w:val="16"/>
              </w:rPr>
              <w:br w:type="textWrapping"/>
            </w:r>
            <w:r>
              <w:rPr>
                <w:rFonts w:hint="eastAsia" w:ascii="微软雅黑" w:hAnsi="微软雅黑" w:eastAsia="微软雅黑" w:cs="微软雅黑"/>
                <w:sz w:val="16"/>
                <w:szCs w:val="16"/>
              </w:rPr>
              <w:t>俄语/德语/法语选一</w:t>
            </w: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100703</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生药学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医学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100706</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药理学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医学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100800</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中药学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是</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医学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马克思主义学院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030501</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马克思主义基本原理</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法学</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哲学/政治学</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030503</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马克思主义中国化研究</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法学</w:t>
            </w: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030505</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思想政治教育</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法学</w:t>
            </w: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人文学院、家政学院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030301</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社会学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法学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社会学</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460" w:hRule="atLeast"/>
        </w:trPr>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信息技术学院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077500</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计算机科学与技术</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是</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理学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计算机科学</w:t>
            </w:r>
            <w:r>
              <w:rPr>
                <w:rFonts w:hint="eastAsia" w:ascii="微软雅黑" w:hAnsi="微软雅黑" w:eastAsia="微软雅黑" w:cs="微软雅黑"/>
                <w:sz w:val="16"/>
                <w:szCs w:val="16"/>
              </w:rPr>
              <w:br w:type="textWrapping"/>
            </w:r>
            <w:r>
              <w:rPr>
                <w:rFonts w:hint="eastAsia" w:ascii="微软雅黑" w:hAnsi="微软雅黑" w:eastAsia="微软雅黑" w:cs="微软雅黑"/>
                <w:sz w:val="16"/>
                <w:szCs w:val="16"/>
              </w:rPr>
              <w:t>与技术</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动物医学院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090601</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基础兽医学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090602</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预防兽医学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090603</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临床兽医学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农学院</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090101</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作物栽培学与耕作学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作物学</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090102</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作物遗传育种</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工程技术学院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082801</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农业机械化工程</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工学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082803</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农业生物环境与能源工程</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工学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082804</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农业电气化与自动化</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工学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0828Z1</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机械制造技术</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工学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植物保护学院</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090401</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植物病理学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0904Z2</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生物防治</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090403</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农药学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0904Z1</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菌物学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动物科学技术学院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090501</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动物遗传育种与繁殖</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090502</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动物营养与饲料科学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090504</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特种经济动物饲养</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资源与环境学院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077600</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环境科学与工程</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是</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理学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英语/日语</w:t>
            </w:r>
            <w:r>
              <w:rPr>
                <w:rFonts w:hint="eastAsia" w:ascii="微软雅黑" w:hAnsi="微软雅黑" w:eastAsia="微软雅黑" w:cs="微软雅黑"/>
                <w:sz w:val="16"/>
                <w:szCs w:val="16"/>
              </w:rPr>
              <w:br w:type="textWrapping"/>
            </w:r>
            <w:r>
              <w:rPr>
                <w:rFonts w:hint="eastAsia" w:ascii="微软雅黑" w:hAnsi="微软雅黑" w:eastAsia="微软雅黑" w:cs="微软雅黑"/>
                <w:sz w:val="16"/>
                <w:szCs w:val="16"/>
              </w:rPr>
              <w:t>俄语/德语/法语选一</w:t>
            </w: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090300</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农业资源与环境</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是</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经济管理学院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120300</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农林经济管理</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是</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管理学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农林经济管理</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食品科学与工程学院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082202</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制糖工程</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工学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082203</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发酵工程</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工学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93"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083201</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食品科学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工学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097202</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粮食、油脂及植物蛋白工程</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097203</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农产品加工及贮藏工程</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园艺学院</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090200</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园艺学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是</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生命科学学院</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071001</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植物学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理学</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生物学</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071002</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动物学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理学</w:t>
            </w: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071010</w:t>
            </w:r>
          </w:p>
        </w:tc>
        <w:tc>
          <w:tcPr>
            <w:tcW w:w="20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生物化学与分子生物学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否</w:t>
            </w:r>
          </w:p>
        </w:tc>
        <w:tc>
          <w:tcPr>
            <w:tcW w:w="8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理学</w:t>
            </w: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微软雅黑" w:hAnsi="微软雅黑" w:eastAsia="微软雅黑" w:cs="微软雅黑"/>
                <w:sz w:val="16"/>
                <w:szCs w:val="16"/>
              </w:rPr>
            </w:pP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r>
        <w:tblPrEx>
          <w:tblCellMar>
            <w:top w:w="0" w:type="dxa"/>
            <w:left w:w="108" w:type="dxa"/>
            <w:bottom w:w="0" w:type="dxa"/>
            <w:right w:w="108" w:type="dxa"/>
          </w:tblCellMar>
        </w:tblPrEx>
        <w:trPr>
          <w:trHeight w:val="280" w:hRule="atLeast"/>
        </w:trPr>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林学与草学学院</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090900</w:t>
            </w: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草学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是</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农学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微软雅黑" w:hAnsi="微软雅黑" w:eastAsia="微软雅黑" w:cs="微软雅黑"/>
                <w:sz w:val="16"/>
                <w:szCs w:val="16"/>
              </w:rPr>
            </w:pPr>
            <w:r>
              <w:rPr>
                <w:rFonts w:hint="eastAsia" w:ascii="微软雅黑" w:hAnsi="微软雅黑" w:eastAsia="微软雅黑" w:cs="微软雅黑"/>
                <w:sz w:val="16"/>
                <w:szCs w:val="16"/>
              </w:rPr>
              <w:t>无</w:t>
            </w:r>
          </w:p>
        </w:tc>
        <w:tc>
          <w:tcPr>
            <w:tcW w:w="10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sz w:val="16"/>
                <w:szCs w:val="16"/>
              </w:rPr>
            </w:pPr>
          </w:p>
        </w:tc>
      </w:tr>
    </w:tbl>
    <w:p>
      <w:pPr>
        <w:spacing w:line="360" w:lineRule="exact"/>
        <w:ind w:firstLine="472" w:firstLineChars="196"/>
        <w:rPr>
          <w:rFonts w:ascii="宋体" w:hAnsi="宋体" w:eastAsia="宋体" w:cs="宋体"/>
          <w:b/>
          <w:color w:val="auto"/>
          <w:sz w:val="24"/>
          <w:szCs w:val="24"/>
        </w:rPr>
      </w:pPr>
    </w:p>
    <w:p>
      <w:pPr>
        <w:spacing w:line="360" w:lineRule="exact"/>
        <w:ind w:firstLine="472" w:firstLineChars="196"/>
        <w:rPr>
          <w:rFonts w:cs="宋体" w:asciiTheme="minorEastAsia" w:hAnsiTheme="minorEastAsia" w:eastAsiaTheme="minorEastAsia"/>
          <w:color w:val="auto"/>
          <w:sz w:val="24"/>
          <w:szCs w:val="24"/>
        </w:rPr>
      </w:pPr>
      <w:r>
        <w:rPr>
          <w:rFonts w:hint="eastAsia" w:cs="宋体" w:asciiTheme="minorEastAsia" w:hAnsiTheme="minorEastAsia" w:eastAsiaTheme="minorEastAsia"/>
          <w:b/>
          <w:bCs/>
          <w:color w:val="auto"/>
          <w:sz w:val="24"/>
          <w:szCs w:val="24"/>
        </w:rPr>
        <w:t>六</w:t>
      </w:r>
      <w:r>
        <w:rPr>
          <w:rFonts w:cs="宋体" w:asciiTheme="minorEastAsia" w:hAnsiTheme="minorEastAsia" w:eastAsiaTheme="minorEastAsia"/>
          <w:b/>
          <w:bCs/>
          <w:color w:val="auto"/>
          <w:sz w:val="24"/>
          <w:szCs w:val="24"/>
        </w:rPr>
        <w:t>、</w:t>
      </w:r>
      <w:r>
        <w:rPr>
          <w:rFonts w:hint="eastAsia" w:cs="宋体" w:asciiTheme="minorEastAsia" w:hAnsiTheme="minorEastAsia" w:eastAsiaTheme="minorEastAsia"/>
          <w:b/>
          <w:bCs/>
          <w:color w:val="auto"/>
          <w:sz w:val="24"/>
          <w:szCs w:val="24"/>
        </w:rPr>
        <w:t>培养方式</w:t>
      </w:r>
    </w:p>
    <w:p>
      <w:pPr>
        <w:spacing w:line="360" w:lineRule="exact"/>
        <w:ind w:firstLine="480" w:firstLineChars="200"/>
        <w:rPr>
          <w:rFonts w:ascii="宋体" w:hAnsi="宋体" w:eastAsia="宋体" w:cs="宋体"/>
          <w:sz w:val="24"/>
          <w:szCs w:val="24"/>
        </w:rPr>
      </w:pPr>
      <w:r>
        <w:rPr>
          <w:rFonts w:ascii="宋体" w:hAnsi="宋体" w:eastAsia="宋体" w:cs="宋体"/>
          <w:sz w:val="24"/>
          <w:szCs w:val="24"/>
        </w:rPr>
        <w:t>采取不离岗的学习方式</w:t>
      </w:r>
      <w:r>
        <w:rPr>
          <w:rFonts w:hint="eastAsia" w:ascii="宋体" w:hAnsi="宋体" w:eastAsia="宋体" w:cs="宋体"/>
          <w:sz w:val="24"/>
          <w:szCs w:val="24"/>
        </w:rPr>
        <w:t>，</w:t>
      </w:r>
      <w:r>
        <w:rPr>
          <w:rFonts w:hint="eastAsia" w:cs="宋体" w:asciiTheme="minorEastAsia" w:hAnsiTheme="minorEastAsia" w:eastAsiaTheme="minorEastAsia"/>
          <w:color w:val="auto"/>
          <w:sz w:val="24"/>
          <w:szCs w:val="24"/>
        </w:rPr>
        <w:t>按学术型研究生培养方案规定，采取</w:t>
      </w:r>
      <w:r>
        <w:rPr>
          <w:rFonts w:hint="eastAsia" w:ascii="宋体" w:hAnsi="宋体" w:cs="宋体"/>
          <w:color w:val="333333"/>
          <w:sz w:val="24"/>
          <w:szCs w:val="29"/>
        </w:rPr>
        <w:t>线下集中面授</w:t>
      </w:r>
      <w:r>
        <w:rPr>
          <w:rFonts w:hint="eastAsia" w:cs="宋体" w:asciiTheme="minorEastAsia" w:hAnsiTheme="minorEastAsia" w:eastAsiaTheme="minorEastAsia"/>
          <w:color w:val="333333"/>
          <w:sz w:val="24"/>
          <w:szCs w:val="29"/>
        </w:rPr>
        <w:t>、</w:t>
      </w:r>
      <w:r>
        <w:rPr>
          <w:rFonts w:hint="eastAsia" w:ascii="宋体" w:hAnsi="宋体" w:cs="宋体"/>
          <w:color w:val="333333"/>
          <w:sz w:val="24"/>
          <w:szCs w:val="29"/>
        </w:rPr>
        <w:t>线上</w:t>
      </w:r>
      <w:r>
        <w:rPr>
          <w:rFonts w:hint="eastAsia" w:cs="宋体" w:asciiTheme="minorEastAsia" w:hAnsiTheme="minorEastAsia" w:eastAsiaTheme="minorEastAsia"/>
          <w:color w:val="333333"/>
          <w:sz w:val="24"/>
          <w:szCs w:val="29"/>
        </w:rPr>
        <w:t>学习、自学辅导、实验实习、导师指导等</w:t>
      </w:r>
      <w:r>
        <w:rPr>
          <w:rFonts w:hint="eastAsia" w:ascii="宋体" w:hAnsi="宋体" w:cs="宋体"/>
          <w:color w:val="333333"/>
          <w:sz w:val="24"/>
          <w:szCs w:val="29"/>
        </w:rPr>
        <w:t>灵活的</w:t>
      </w:r>
      <w:r>
        <w:rPr>
          <w:rFonts w:hint="eastAsia" w:cs="宋体" w:asciiTheme="minorEastAsia" w:hAnsiTheme="minorEastAsia" w:eastAsiaTheme="minorEastAsia"/>
          <w:color w:val="333333"/>
          <w:sz w:val="24"/>
          <w:szCs w:val="29"/>
        </w:rPr>
        <w:t>学习形式</w:t>
      </w:r>
      <w:r>
        <w:rPr>
          <w:rFonts w:hint="eastAsia" w:ascii="宋体" w:hAnsi="宋体" w:eastAsia="宋体" w:cs="宋体"/>
          <w:sz w:val="24"/>
          <w:szCs w:val="24"/>
        </w:rPr>
        <w:t>，</w:t>
      </w:r>
      <w:r>
        <w:rPr>
          <w:rFonts w:hint="eastAsia" w:cs="宋体" w:asciiTheme="minorEastAsia" w:hAnsiTheme="minorEastAsia" w:eastAsiaTheme="minorEastAsia"/>
          <w:color w:val="auto"/>
          <w:sz w:val="24"/>
          <w:szCs w:val="24"/>
        </w:rPr>
        <w:t>获取学位的培养过程分为学习阶段(课程学习和</w:t>
      </w:r>
      <w:r>
        <w:rPr>
          <w:rFonts w:ascii="宋体" w:hAnsi="宋体" w:eastAsia="宋体" w:cs="宋体"/>
          <w:sz w:val="24"/>
          <w:szCs w:val="24"/>
        </w:rPr>
        <w:t>学位论文</w:t>
      </w:r>
      <w:r>
        <w:rPr>
          <w:rFonts w:hint="eastAsia" w:ascii="宋体" w:hAnsi="宋体" w:eastAsia="宋体" w:cs="宋体"/>
          <w:sz w:val="24"/>
          <w:szCs w:val="24"/>
        </w:rPr>
        <w:t>)</w:t>
      </w:r>
      <w:r>
        <w:rPr>
          <w:rFonts w:hint="eastAsia" w:cs="宋体" w:asciiTheme="minorEastAsia" w:hAnsiTheme="minorEastAsia" w:eastAsiaTheme="minorEastAsia"/>
          <w:color w:val="auto"/>
          <w:sz w:val="24"/>
          <w:szCs w:val="24"/>
        </w:rPr>
        <w:t>和申请学位阶段,要经过以下三个环节完成学位申请工作。</w:t>
      </w:r>
    </w:p>
    <w:p>
      <w:pPr>
        <w:shd w:val="clear" w:color="auto" w:fill="FFFFFF"/>
        <w:spacing w:line="360" w:lineRule="exact"/>
        <w:ind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1. 课程学习</w:t>
      </w:r>
    </w:p>
    <w:p>
      <w:pPr>
        <w:spacing w:line="360" w:lineRule="exact"/>
        <w:ind w:firstLine="480" w:firstLineChars="200"/>
        <w:rPr>
          <w:rFonts w:cs="宋体" w:asciiTheme="minorEastAsia" w:hAnsiTheme="minorEastAsia" w:eastAsiaTheme="minorEastAsia"/>
          <w:color w:val="auto"/>
          <w:sz w:val="24"/>
          <w:szCs w:val="24"/>
        </w:rPr>
      </w:pPr>
      <w:r>
        <w:rPr>
          <w:rFonts w:cs="宋体" w:asciiTheme="minorEastAsia" w:hAnsiTheme="minorEastAsia" w:eastAsiaTheme="minorEastAsia"/>
          <w:color w:val="auto"/>
          <w:sz w:val="24"/>
          <w:szCs w:val="24"/>
        </w:rPr>
        <w:t>资格审查通过后进入课程学习阶段。课程学习科目、学分规定</w:t>
      </w:r>
      <w:r>
        <w:rPr>
          <w:rFonts w:hint="eastAsia" w:cs="宋体" w:asciiTheme="minorEastAsia" w:hAnsiTheme="minorEastAsia" w:eastAsiaTheme="minorEastAsia"/>
          <w:color w:val="auto"/>
          <w:sz w:val="24"/>
          <w:szCs w:val="24"/>
        </w:rPr>
        <w:t>、</w:t>
      </w:r>
      <w:r>
        <w:rPr>
          <w:rFonts w:cs="宋体" w:asciiTheme="minorEastAsia" w:hAnsiTheme="minorEastAsia" w:eastAsiaTheme="minorEastAsia"/>
          <w:color w:val="auto"/>
          <w:sz w:val="24"/>
          <w:szCs w:val="24"/>
        </w:rPr>
        <w:t>考核方式等均按照申请学科专业研究生培养方案的相关规定进行。</w:t>
      </w:r>
    </w:p>
    <w:p>
      <w:pPr>
        <w:spacing w:line="36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申请人修完培养方案规定的课程，考核合格者，可获得吉林农业大学研究生院认定的成绩单并颁发同等学力申请硕士学位课程水平认定证书（结业证书）。</w:t>
      </w:r>
    </w:p>
    <w:p>
      <w:pPr>
        <w:spacing w:line="36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申请人必须在四</w:t>
      </w:r>
      <w:r>
        <w:rPr>
          <w:rFonts w:cs="宋体" w:asciiTheme="minorEastAsia" w:hAnsiTheme="minorEastAsia" w:eastAsiaTheme="minorEastAsia"/>
          <w:color w:val="auto"/>
          <w:sz w:val="24"/>
          <w:szCs w:val="24"/>
        </w:rPr>
        <w:t>年内通过规定的课程学习</w:t>
      </w:r>
      <w:r>
        <w:rPr>
          <w:rFonts w:hint="eastAsia" w:cs="宋体"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修满规定学分</w:t>
      </w:r>
      <w:r>
        <w:rPr>
          <w:rFonts w:hint="eastAsia" w:cs="宋体" w:asciiTheme="minorEastAsia" w:hAnsiTheme="minorEastAsia" w:eastAsiaTheme="minorEastAsia"/>
          <w:color w:val="auto"/>
          <w:sz w:val="24"/>
          <w:szCs w:val="24"/>
        </w:rPr>
        <w:t>，通过学校及</w:t>
      </w:r>
      <w:r>
        <w:rPr>
          <w:rFonts w:cs="宋体" w:asciiTheme="minorEastAsia" w:hAnsiTheme="minorEastAsia" w:eastAsiaTheme="minorEastAsia"/>
          <w:color w:val="auto"/>
          <w:sz w:val="24"/>
          <w:szCs w:val="24"/>
        </w:rPr>
        <w:t>国家组织的全部考试</w:t>
      </w:r>
      <w:r>
        <w:rPr>
          <w:rFonts w:hint="eastAsia" w:cs="宋体" w:asciiTheme="minorEastAsia" w:hAnsiTheme="minorEastAsia" w:eastAsiaTheme="minorEastAsia"/>
          <w:color w:val="auto"/>
          <w:sz w:val="24"/>
          <w:szCs w:val="24"/>
        </w:rPr>
        <w:t>（水平认定），四年内未通过者，</w:t>
      </w:r>
      <w:r>
        <w:rPr>
          <w:rFonts w:cs="宋体" w:asciiTheme="minorEastAsia" w:hAnsiTheme="minorEastAsia" w:eastAsiaTheme="minorEastAsia"/>
          <w:color w:val="auto"/>
          <w:sz w:val="24"/>
          <w:szCs w:val="24"/>
        </w:rPr>
        <w:t>本次申请无效。</w:t>
      </w:r>
    </w:p>
    <w:p>
      <w:pPr>
        <w:shd w:val="clear" w:color="auto" w:fill="FFFFFF"/>
        <w:spacing w:line="360" w:lineRule="exact"/>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2.学位论文</w:t>
      </w:r>
    </w:p>
    <w:p>
      <w:pPr>
        <w:spacing w:line="36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自通过全部考试之日起（</w:t>
      </w:r>
      <w:r>
        <w:rPr>
          <w:rFonts w:cs="宋体" w:asciiTheme="minorEastAsia" w:hAnsiTheme="minorEastAsia" w:eastAsiaTheme="minorEastAsia"/>
          <w:color w:val="auto"/>
          <w:sz w:val="24"/>
          <w:szCs w:val="24"/>
        </w:rPr>
        <w:t>完成第一阶段课程学习</w:t>
      </w:r>
      <w:r>
        <w:rPr>
          <w:rFonts w:hint="eastAsia" w:cs="宋体" w:asciiTheme="minorEastAsia" w:hAnsiTheme="minorEastAsia" w:eastAsiaTheme="minorEastAsia"/>
          <w:color w:val="auto"/>
          <w:sz w:val="24"/>
          <w:szCs w:val="24"/>
        </w:rPr>
        <w:t>），</w:t>
      </w:r>
      <w:r>
        <w:rPr>
          <w:rFonts w:cs="宋体" w:asciiTheme="minorEastAsia" w:hAnsiTheme="minorEastAsia" w:eastAsiaTheme="minorEastAsia"/>
          <w:color w:val="auto"/>
          <w:sz w:val="24"/>
          <w:szCs w:val="24"/>
        </w:rPr>
        <w:t>进入学位论文阶段</w:t>
      </w:r>
      <w:r>
        <w:rPr>
          <w:rFonts w:hint="eastAsia" w:cs="宋体" w:asciiTheme="minorEastAsia" w:hAnsiTheme="minorEastAsia" w:eastAsiaTheme="minorEastAsia"/>
          <w:color w:val="auto"/>
          <w:sz w:val="24"/>
          <w:szCs w:val="24"/>
        </w:rPr>
        <w:t>。在导师指导下，一年内提出学位论文，并在提交论文后的半年内完成论文答辩并通过。论文答辩未通过， 建议修改论文再重新答辩者，可在半年至一年内重新答辩一次。答辩未通过者或逾期未申请者，本次申请无效。</w:t>
      </w:r>
    </w:p>
    <w:p>
      <w:pPr>
        <w:shd w:val="clear" w:color="auto" w:fill="FFFFFF"/>
        <w:spacing w:line="360" w:lineRule="exact"/>
        <w:ind w:firstLine="472" w:firstLineChars="196"/>
        <w:rPr>
          <w:rFonts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rPr>
        <w:t>3.学位授予审核评定</w:t>
      </w:r>
    </w:p>
    <w:p>
      <w:pPr>
        <w:spacing w:line="360" w:lineRule="exact"/>
        <w:ind w:firstLine="480" w:firstLineChars="200"/>
        <w:rPr>
          <w:rFonts w:hint="eastAsia" w:cs="宋体" w:asciiTheme="majorEastAsia" w:hAnsiTheme="majorEastAsia" w:eastAsiaTheme="majorEastAsia"/>
          <w:color w:val="auto"/>
          <w:sz w:val="24"/>
          <w:szCs w:val="24"/>
        </w:rPr>
      </w:pPr>
      <w:r>
        <w:rPr>
          <w:rFonts w:hint="eastAsia" w:cs="宋体" w:asciiTheme="majorEastAsia" w:hAnsiTheme="majorEastAsia" w:eastAsiaTheme="majorEastAsia"/>
          <w:color w:val="auto"/>
          <w:sz w:val="24"/>
          <w:szCs w:val="24"/>
        </w:rPr>
        <w:t>申请人通过同等学力水平认定（通过学校及国家组织的全部课程学习考核、完成学位论文、通过学位论文答辩），完成必修环节，符合学位授予条件，授予吉林农业大学硕士学位。</w:t>
      </w:r>
    </w:p>
    <w:p>
      <w:pPr>
        <w:spacing w:line="360" w:lineRule="exact"/>
        <w:ind w:firstLine="482" w:firstLineChars="200"/>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rPr>
        <w:t>八</w:t>
      </w:r>
      <w:r>
        <w:rPr>
          <w:rFonts w:cs="宋体" w:asciiTheme="minorEastAsia" w:hAnsiTheme="minorEastAsia" w:eastAsiaTheme="minorEastAsia"/>
          <w:b/>
          <w:bCs/>
          <w:color w:val="auto"/>
          <w:sz w:val="24"/>
          <w:szCs w:val="24"/>
        </w:rPr>
        <w:t>、收费标准</w:t>
      </w:r>
      <w:r>
        <w:rPr>
          <w:rFonts w:hint="eastAsia" w:cs="宋体" w:asciiTheme="minorEastAsia" w:hAnsiTheme="minorEastAsia" w:eastAsiaTheme="minorEastAsia"/>
          <w:b/>
          <w:bCs/>
          <w:color w:val="auto"/>
          <w:sz w:val="24"/>
          <w:szCs w:val="24"/>
        </w:rPr>
        <w:t>：</w:t>
      </w:r>
    </w:p>
    <w:p>
      <w:pPr>
        <w:spacing w:line="360" w:lineRule="exact"/>
        <w:ind w:firstLine="480" w:firstLineChars="200"/>
        <w:rPr>
          <w:rFonts w:asciiTheme="majorEastAsia" w:hAnsiTheme="majorEastAsia" w:eastAsiaTheme="majorEastAsia"/>
          <w:color w:val="auto"/>
          <w:sz w:val="24"/>
          <w:szCs w:val="24"/>
        </w:rPr>
      </w:pPr>
      <w:r>
        <w:rPr>
          <w:rFonts w:hint="eastAsia" w:cs="宋体" w:asciiTheme="minorEastAsia" w:hAnsiTheme="minorEastAsia" w:eastAsiaTheme="minorEastAsia"/>
          <w:bCs/>
          <w:color w:val="auto"/>
          <w:sz w:val="24"/>
          <w:szCs w:val="24"/>
        </w:rPr>
        <w:t>依据（吉政办发【2006】31号）文件相关规定收取学费。</w:t>
      </w:r>
    </w:p>
    <w:p>
      <w:pPr>
        <w:spacing w:line="360" w:lineRule="exact"/>
        <w:ind w:firstLine="480" w:firstLineChars="200"/>
        <w:rPr>
          <w:rFonts w:cs="宋体" w:asciiTheme="minorEastAsia" w:hAnsiTheme="minorEastAsia" w:eastAsiaTheme="minorEastAsia"/>
          <w:bCs/>
          <w:color w:val="auto"/>
          <w:sz w:val="24"/>
          <w:szCs w:val="24"/>
        </w:rPr>
      </w:pPr>
      <w:r>
        <w:rPr>
          <w:rFonts w:hint="eastAsia" w:asciiTheme="majorEastAsia" w:hAnsiTheme="majorEastAsia" w:eastAsiaTheme="majorEastAsia"/>
          <w:color w:val="auto"/>
          <w:sz w:val="24"/>
          <w:szCs w:val="24"/>
        </w:rPr>
        <w:t>1.课程学习阶段：每生</w:t>
      </w:r>
      <w:bookmarkStart w:id="0" w:name="_GoBack"/>
      <w:bookmarkEnd w:id="0"/>
      <w:r>
        <w:rPr>
          <w:rFonts w:hint="eastAsia" w:asciiTheme="majorEastAsia" w:hAnsiTheme="majorEastAsia" w:eastAsiaTheme="majorEastAsia"/>
          <w:color w:val="auto"/>
          <w:sz w:val="24"/>
          <w:szCs w:val="24"/>
        </w:rPr>
        <w:t>每年8000元，按年收取，</w:t>
      </w:r>
      <w:r>
        <w:rPr>
          <w:rFonts w:hint="eastAsia" w:asciiTheme="majorEastAsia" w:hAnsiTheme="majorEastAsia" w:eastAsiaTheme="majorEastAsia"/>
          <w:color w:val="auto"/>
          <w:sz w:val="24"/>
        </w:rPr>
        <w:t>根据不同学习内容</w:t>
      </w:r>
      <w:r>
        <w:rPr>
          <w:rFonts w:hint="eastAsia" w:asciiTheme="majorEastAsia" w:hAnsiTheme="majorEastAsia" w:eastAsiaTheme="majorEastAsia"/>
          <w:color w:val="auto"/>
          <w:sz w:val="24"/>
          <w:szCs w:val="24"/>
        </w:rPr>
        <w:t>只收2年学费。</w:t>
      </w:r>
    </w:p>
    <w:p>
      <w:pPr>
        <w:spacing w:line="360" w:lineRule="exact"/>
        <w:ind w:firstLine="480" w:firstLineChars="200"/>
        <w:rPr>
          <w:rFonts w:cs="宋体" w:asciiTheme="minorEastAsia" w:hAnsiTheme="minorEastAsia"/>
          <w:color w:val="auto"/>
          <w:sz w:val="24"/>
          <w:szCs w:val="24"/>
        </w:rPr>
      </w:pPr>
      <w:r>
        <w:rPr>
          <w:rFonts w:hint="eastAsia" w:asciiTheme="minorEastAsia" w:hAnsiTheme="minorEastAsia" w:eastAsiaTheme="minorEastAsia"/>
          <w:bCs/>
          <w:color w:val="auto"/>
          <w:sz w:val="24"/>
          <w:szCs w:val="24"/>
        </w:rPr>
        <w:t xml:space="preserve">2.申请学位阶段: </w:t>
      </w:r>
      <w:r>
        <w:rPr>
          <w:rFonts w:hint="eastAsia" w:cs="宋体" w:asciiTheme="minorEastAsia" w:hAnsiTheme="minorEastAsia" w:eastAsiaTheme="minorEastAsia"/>
          <w:color w:val="auto"/>
          <w:sz w:val="24"/>
          <w:szCs w:val="24"/>
        </w:rPr>
        <w:t>申请硕士学位</w:t>
      </w:r>
      <w:r>
        <w:rPr>
          <w:rFonts w:hint="eastAsia" w:cs="宋体" w:asciiTheme="minorEastAsia" w:hAnsiTheme="minorEastAsia"/>
          <w:color w:val="auto"/>
          <w:sz w:val="24"/>
          <w:szCs w:val="24"/>
        </w:rPr>
        <w:t>每</w:t>
      </w:r>
      <w:r>
        <w:rPr>
          <w:rFonts w:hint="eastAsia" w:cs="宋体" w:asciiTheme="minorEastAsia" w:hAnsiTheme="minorEastAsia" w:eastAsiaTheme="minorEastAsia"/>
          <w:color w:val="auto"/>
          <w:sz w:val="24"/>
          <w:szCs w:val="24"/>
        </w:rPr>
        <w:t>生5</w:t>
      </w:r>
      <w:r>
        <w:rPr>
          <w:rFonts w:hint="eastAsia" w:cs="宋体" w:asciiTheme="minorEastAsia" w:hAnsiTheme="minorEastAsia"/>
          <w:color w:val="auto"/>
          <w:sz w:val="24"/>
          <w:szCs w:val="24"/>
        </w:rPr>
        <w:t>000元</w:t>
      </w:r>
      <w:r>
        <w:rPr>
          <w:rFonts w:hint="eastAsia" w:asciiTheme="majorEastAsia" w:hAnsiTheme="majorEastAsia" w:eastAsiaTheme="majorEastAsia"/>
          <w:color w:val="auto"/>
          <w:sz w:val="24"/>
          <w:szCs w:val="24"/>
        </w:rPr>
        <w:t>。</w:t>
      </w:r>
    </w:p>
    <w:p>
      <w:pPr>
        <w:spacing w:line="360" w:lineRule="exact"/>
        <w:ind w:firstLine="480" w:firstLineChars="200"/>
        <w:rPr>
          <w:rFonts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3.学费缴纳方式：</w:t>
      </w:r>
      <w:r>
        <w:rPr>
          <w:rFonts w:cs="宋体" w:asciiTheme="minorEastAsia" w:hAnsiTheme="minorEastAsia" w:eastAsiaTheme="minorEastAsia"/>
          <w:color w:val="auto"/>
          <w:sz w:val="24"/>
          <w:szCs w:val="24"/>
        </w:rPr>
        <w:t>由</w:t>
      </w:r>
      <w:r>
        <w:rPr>
          <w:rFonts w:hint="eastAsia" w:cs="宋体" w:asciiTheme="minorEastAsia" w:hAnsiTheme="minorEastAsia" w:eastAsiaTheme="minorEastAsia"/>
          <w:color w:val="auto"/>
          <w:sz w:val="24"/>
          <w:szCs w:val="24"/>
        </w:rPr>
        <w:t>本</w:t>
      </w:r>
      <w:r>
        <w:rPr>
          <w:rFonts w:cs="宋体" w:asciiTheme="minorEastAsia" w:hAnsiTheme="minorEastAsia" w:eastAsiaTheme="minorEastAsia"/>
          <w:color w:val="auto"/>
          <w:sz w:val="24"/>
          <w:szCs w:val="24"/>
        </w:rPr>
        <w:t>人</w:t>
      </w:r>
      <w:r>
        <w:rPr>
          <w:rFonts w:hint="eastAsia" w:asciiTheme="minorEastAsia" w:hAnsiTheme="minorEastAsia" w:eastAsiaTheme="minorEastAsia"/>
          <w:color w:val="auto"/>
          <w:sz w:val="24"/>
          <w:szCs w:val="24"/>
        </w:rPr>
        <w:t>在吉林农业大学财务缴费平台上完成缴费。</w:t>
      </w:r>
    </w:p>
    <w:p>
      <w:pPr>
        <w:spacing w:line="360" w:lineRule="exact"/>
        <w:ind w:firstLine="472" w:firstLineChars="196"/>
        <w:rPr>
          <w:rFonts w:cs="宋体" w:asciiTheme="minorEastAsia" w:hAnsiTheme="minorEastAsia" w:eastAsiaTheme="minorEastAsia"/>
          <w:color w:val="auto"/>
          <w:sz w:val="24"/>
          <w:szCs w:val="24"/>
        </w:rPr>
      </w:pPr>
      <w:r>
        <w:rPr>
          <w:rFonts w:hint="eastAsia" w:cs="宋体" w:asciiTheme="minorEastAsia" w:hAnsiTheme="minorEastAsia" w:eastAsiaTheme="minorEastAsia"/>
          <w:b/>
          <w:bCs/>
          <w:color w:val="auto"/>
          <w:sz w:val="24"/>
          <w:szCs w:val="24"/>
        </w:rPr>
        <w:t>九</w:t>
      </w:r>
      <w:r>
        <w:rPr>
          <w:rFonts w:cs="宋体" w:asciiTheme="minorEastAsia" w:hAnsiTheme="minorEastAsia" w:eastAsiaTheme="minorEastAsia"/>
          <w:b/>
          <w:bCs/>
          <w:color w:val="auto"/>
          <w:sz w:val="24"/>
          <w:szCs w:val="24"/>
        </w:rPr>
        <w:t>、其他</w:t>
      </w:r>
    </w:p>
    <w:p>
      <w:pPr>
        <w:spacing w:line="360" w:lineRule="exact"/>
        <w:ind w:firstLine="430"/>
        <w:rPr>
          <w:rFonts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1</w:t>
      </w:r>
      <w:r>
        <w:rPr>
          <w:rFonts w:hint="eastAsia" w:asciiTheme="minorEastAsia" w:hAnsiTheme="minorEastAsia" w:eastAsiaTheme="minorEastAsia"/>
          <w:b/>
          <w:bCs/>
          <w:color w:val="auto"/>
          <w:sz w:val="24"/>
          <w:szCs w:val="24"/>
        </w:rPr>
        <w:t>.</w:t>
      </w:r>
      <w:r>
        <w:rPr>
          <w:rFonts w:hint="eastAsia" w:asciiTheme="minorEastAsia" w:hAnsiTheme="minorEastAsia" w:eastAsiaTheme="minorEastAsia"/>
          <w:color w:val="auto"/>
          <w:sz w:val="24"/>
          <w:szCs w:val="24"/>
        </w:rPr>
        <w:t xml:space="preserve"> 报名资格凡弄虚作假，一经查实，取消申请资格，造成的后果由申请人自行承担。</w:t>
      </w:r>
    </w:p>
    <w:p>
      <w:pPr>
        <w:spacing w:line="360" w:lineRule="exact"/>
        <w:ind w:firstLine="480" w:firstLineChars="200"/>
        <w:jc w:val="both"/>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2.申请人因个人原因中止学习，须提交申请后办理相关手续。</w:t>
      </w:r>
    </w:p>
    <w:p>
      <w:pPr>
        <w:spacing w:line="36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w:t>
      </w:r>
      <w:r>
        <w:rPr>
          <w:rFonts w:hint="eastAsia" w:asciiTheme="minorEastAsia" w:hAnsiTheme="minorEastAsia" w:eastAsiaTheme="minorEastAsia"/>
          <w:b/>
          <w:bCs/>
          <w:color w:val="auto"/>
          <w:sz w:val="24"/>
          <w:szCs w:val="24"/>
        </w:rPr>
        <w:t>.</w:t>
      </w:r>
      <w:r>
        <w:rPr>
          <w:rFonts w:hint="eastAsia" w:cs="宋体" w:asciiTheme="minorEastAsia" w:hAnsiTheme="minorEastAsia" w:eastAsiaTheme="minorEastAsia"/>
          <w:color w:val="auto"/>
          <w:sz w:val="24"/>
          <w:szCs w:val="24"/>
        </w:rPr>
        <w:t>本简章未尽事宜或遇国家政策变动，均以国家相关政策为准。</w:t>
      </w:r>
    </w:p>
    <w:p>
      <w:pPr>
        <w:spacing w:line="360" w:lineRule="exact"/>
        <w:rPr>
          <w:rFonts w:cs="宋体" w:asciiTheme="minorEastAsia" w:hAnsiTheme="minorEastAsia" w:eastAsiaTheme="minorEastAsia"/>
          <w:color w:val="auto"/>
          <w:sz w:val="24"/>
          <w:szCs w:val="24"/>
        </w:rPr>
      </w:pPr>
    </w:p>
    <w:sectPr>
      <w:pgSz w:w="11906" w:h="16838"/>
      <w:pgMar w:top="1418"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NmZDUzYTkyODU1MmU2YWIzMDJkYjQ0ZGNlNWUyYTgifQ=="/>
  </w:docVars>
  <w:rsids>
    <w:rsidRoot w:val="00E416D7"/>
    <w:rsid w:val="00074B8B"/>
    <w:rsid w:val="00247774"/>
    <w:rsid w:val="002C78FA"/>
    <w:rsid w:val="00340F7C"/>
    <w:rsid w:val="004F50EE"/>
    <w:rsid w:val="00614B66"/>
    <w:rsid w:val="00834735"/>
    <w:rsid w:val="00871D5A"/>
    <w:rsid w:val="00886866"/>
    <w:rsid w:val="008A2D2C"/>
    <w:rsid w:val="008B4B8D"/>
    <w:rsid w:val="008F5129"/>
    <w:rsid w:val="00A62520"/>
    <w:rsid w:val="00A90B94"/>
    <w:rsid w:val="00B07F14"/>
    <w:rsid w:val="00B66ACC"/>
    <w:rsid w:val="00D627AA"/>
    <w:rsid w:val="00DA138A"/>
    <w:rsid w:val="00E416D7"/>
    <w:rsid w:val="00E82BE1"/>
    <w:rsid w:val="00E92AD7"/>
    <w:rsid w:val="00EC288F"/>
    <w:rsid w:val="00F23647"/>
    <w:rsid w:val="00FA7283"/>
    <w:rsid w:val="19B969F7"/>
    <w:rsid w:val="243051E5"/>
    <w:rsid w:val="54470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jc w:val="center"/>
    </w:pPr>
    <w:rPr>
      <w:sz w:val="18"/>
      <w:szCs w:val="18"/>
    </w:rPr>
  </w:style>
  <w:style w:type="paragraph" w:styleId="4">
    <w:name w:val="Normal (Web)"/>
    <w:basedOn w:val="1"/>
    <w:unhideWhenUsed/>
    <w:qFormat/>
    <w:uiPriority w:val="99"/>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character" w:customStyle="1" w:styleId="7">
    <w:name w:val="页眉 Char"/>
    <w:basedOn w:val="6"/>
    <w:link w:val="3"/>
    <w:semiHidden/>
    <w:uiPriority w:val="99"/>
    <w:rPr>
      <w:rFonts w:ascii="Arial" w:hAnsi="Arial" w:eastAsia="Arial" w:cs="Arial"/>
      <w:snapToGrid w:val="0"/>
      <w:color w:val="000000"/>
      <w:kern w:val="0"/>
      <w:sz w:val="18"/>
      <w:szCs w:val="18"/>
    </w:rPr>
  </w:style>
  <w:style w:type="character" w:customStyle="1" w:styleId="8">
    <w:name w:val="页脚 Char"/>
    <w:basedOn w:val="6"/>
    <w:link w:val="2"/>
    <w:semiHidden/>
    <w:uiPriority w:val="99"/>
    <w:rPr>
      <w:rFonts w:ascii="Arial" w:hAnsi="Arial" w:eastAsia="Arial" w:cs="Arial"/>
      <w:snapToGrid w:val="0"/>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553</Words>
  <Characters>3154</Characters>
  <Lines>26</Lines>
  <Paragraphs>7</Paragraphs>
  <TotalTime>40</TotalTime>
  <ScaleCrop>false</ScaleCrop>
  <LinksUpToDate>false</LinksUpToDate>
  <CharactersWithSpaces>3700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2023-12-05T06:55:00Z</dcterms:created>
  <dc:creator>yo</dc:creator>
  <cp:lastModifiedBy>Administrator</cp:lastModifiedBy>
  <cp:lastPrinted>2023-12-04T00:44:00Z</cp:lastPrinted>
  <dcterms:modified xsi:type="dcterms:W3CDTF">2026-02-01T08:12:08Z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7F63731479B54895AE67496FD63A1348_12</vt:lpwstr>
  </property>
</Properties>
</file>