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6527D1">
      <w:pPr>
        <w:adjustRightInd w:val="0"/>
        <w:snapToGrid w:val="0"/>
        <w:spacing w:line="240" w:lineRule="auto"/>
        <w:jc w:val="both"/>
        <w:rPr>
          <w:rFonts w:hint="eastAsia" w:ascii="宋体" w:hAnsi="宋体" w:cs="宋体"/>
          <w:b/>
          <w:bCs/>
          <w:sz w:val="44"/>
          <w:szCs w:val="44"/>
          <w:lang w:val="en-US" w:eastAsia="zh-CN"/>
        </w:rPr>
      </w:pPr>
      <w:r>
        <w:rPr>
          <w:rFonts w:hint="eastAsia" w:ascii="宋体" w:hAnsi="宋体" w:cs="宋体"/>
          <w:b/>
          <w:bCs/>
          <w:sz w:val="44"/>
          <w:szCs w:val="44"/>
          <w:lang w:val="en-US" w:eastAsia="zh-CN"/>
        </w:rPr>
        <w:drawing>
          <wp:anchor distT="0" distB="0" distL="114300" distR="114300" simplePos="0" relativeHeight="251659264" behindDoc="0" locked="0" layoutInCell="1" allowOverlap="1">
            <wp:simplePos x="0" y="0"/>
            <wp:positionH relativeFrom="column">
              <wp:posOffset>386715</wp:posOffset>
            </wp:positionH>
            <wp:positionV relativeFrom="paragraph">
              <wp:posOffset>70485</wp:posOffset>
            </wp:positionV>
            <wp:extent cx="4411345" cy="1082040"/>
            <wp:effectExtent l="0" t="0" r="0" b="0"/>
            <wp:wrapTopAndBottom/>
            <wp:docPr id="7" name="图片 7" descr="三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三峡"/>
                    <pic:cNvPicPr>
                      <a:picLocks noChangeAspect="1"/>
                    </pic:cNvPicPr>
                  </pic:nvPicPr>
                  <pic:blipFill>
                    <a:blip r:embed="rId5"/>
                    <a:srcRect t="58891" b="23767"/>
                    <a:stretch>
                      <a:fillRect/>
                    </a:stretch>
                  </pic:blipFill>
                  <pic:spPr>
                    <a:xfrm>
                      <a:off x="0" y="0"/>
                      <a:ext cx="4411345" cy="1082040"/>
                    </a:xfrm>
                    <a:prstGeom prst="rect">
                      <a:avLst/>
                    </a:prstGeom>
                  </pic:spPr>
                </pic:pic>
              </a:graphicData>
            </a:graphic>
          </wp:anchor>
        </w:drawing>
      </w:r>
    </w:p>
    <w:p w14:paraId="23EB3508">
      <w:pPr>
        <w:adjustRightInd w:val="0"/>
        <w:snapToGrid w:val="0"/>
        <w:spacing w:line="360" w:lineRule="auto"/>
        <w:jc w:val="center"/>
        <w:rPr>
          <w:rFonts w:hint="eastAsia" w:ascii="宋体" w:hAnsi="宋体" w:eastAsia="宋体" w:cs="宋体"/>
          <w:b/>
          <w:bCs/>
          <w:sz w:val="40"/>
          <w:szCs w:val="40"/>
        </w:rPr>
      </w:pPr>
      <w:r>
        <w:rPr>
          <w:rFonts w:hint="eastAsia" w:ascii="宋体" w:hAnsi="宋体" w:cs="宋体"/>
          <w:b/>
          <w:bCs/>
          <w:sz w:val="40"/>
          <w:szCs w:val="40"/>
          <w:lang w:val="en-US" w:eastAsia="zh-CN"/>
        </w:rPr>
        <w:t>三峡大学临床医学</w:t>
      </w:r>
      <w:r>
        <w:rPr>
          <w:rFonts w:hint="eastAsia" w:ascii="宋体" w:hAnsi="宋体" w:eastAsia="宋体" w:cs="宋体"/>
          <w:b/>
          <w:bCs/>
          <w:sz w:val="40"/>
          <w:szCs w:val="40"/>
        </w:rPr>
        <w:t>学科</w:t>
      </w:r>
      <w:r>
        <w:rPr>
          <w:rFonts w:hint="eastAsia" w:ascii="宋体" w:hAnsi="宋体" w:cs="宋体"/>
          <w:b/>
          <w:bCs/>
          <w:sz w:val="40"/>
          <w:szCs w:val="40"/>
          <w:lang w:eastAsia="zh-CN"/>
        </w:rPr>
        <w:t>（</w:t>
      </w:r>
      <w:r>
        <w:rPr>
          <w:rFonts w:hint="eastAsia" w:ascii="宋体" w:hAnsi="宋体" w:cs="宋体"/>
          <w:b/>
          <w:bCs/>
          <w:sz w:val="40"/>
          <w:szCs w:val="40"/>
          <w:lang w:val="en-US" w:eastAsia="zh-CN"/>
        </w:rPr>
        <w:t>专硕</w:t>
      </w:r>
      <w:r>
        <w:rPr>
          <w:rFonts w:hint="eastAsia" w:ascii="宋体" w:hAnsi="宋体" w:cs="宋体"/>
          <w:b/>
          <w:bCs/>
          <w:sz w:val="40"/>
          <w:szCs w:val="40"/>
          <w:lang w:eastAsia="zh-CN"/>
        </w:rPr>
        <w:t>）</w:t>
      </w:r>
      <w:r>
        <w:rPr>
          <w:rFonts w:hint="eastAsia" w:ascii="宋体" w:hAnsi="宋体" w:eastAsia="宋体" w:cs="宋体"/>
          <w:b/>
          <w:bCs/>
          <w:sz w:val="40"/>
          <w:szCs w:val="40"/>
        </w:rPr>
        <w:t>同等学力申硕</w:t>
      </w:r>
    </w:p>
    <w:p w14:paraId="30B15F3B">
      <w:pPr>
        <w:adjustRightInd w:val="0"/>
        <w:snapToGrid w:val="0"/>
        <w:spacing w:line="360" w:lineRule="auto"/>
        <w:jc w:val="center"/>
        <w:rPr>
          <w:rFonts w:hint="eastAsia" w:ascii="宋体" w:hAnsi="宋体" w:eastAsia="宋体" w:cs="宋体"/>
          <w:b/>
          <w:bCs/>
          <w:sz w:val="22"/>
          <w:szCs w:val="22"/>
        </w:rPr>
      </w:pPr>
      <w:r>
        <w:rPr>
          <w:rFonts w:hint="eastAsia" w:ascii="宋体" w:hAnsi="宋体" w:eastAsia="宋体" w:cs="宋体"/>
          <w:b/>
          <w:bCs/>
          <w:sz w:val="40"/>
          <w:szCs w:val="40"/>
        </w:rPr>
        <w:t>招生简章</w:t>
      </w:r>
    </w:p>
    <w:p w14:paraId="5BD1524F">
      <w:pPr>
        <w:adjustRightInd w:val="0"/>
        <w:snapToGrid w:val="0"/>
        <w:jc w:val="center"/>
        <w:rPr>
          <w:rFonts w:hint="eastAsia" w:ascii="宋体" w:hAnsi="宋体" w:eastAsia="宋体" w:cs="宋体"/>
          <w:b/>
          <w:bCs/>
          <w:sz w:val="22"/>
          <w:szCs w:val="22"/>
        </w:rPr>
      </w:pPr>
    </w:p>
    <w:p w14:paraId="0FD16978">
      <w:pPr>
        <w:numPr>
          <w:ilvl w:val="0"/>
          <w:numId w:val="1"/>
        </w:numPr>
        <w:snapToGrid w:val="0"/>
        <w:spacing w:line="360" w:lineRule="auto"/>
        <w:contextualSpacing/>
        <w:rPr>
          <w:rFonts w:ascii="宋体" w:hAnsi="宋体" w:eastAsia="宋体" w:cs="宋体"/>
          <w:b/>
          <w:bCs/>
          <w:sz w:val="24"/>
        </w:rPr>
      </w:pPr>
      <w:r>
        <w:rPr>
          <w:rFonts w:hint="eastAsia" w:ascii="宋体" w:hAnsi="宋体" w:eastAsia="宋体" w:cs="宋体"/>
          <w:b/>
          <w:bCs/>
          <w:sz w:val="24"/>
        </w:rPr>
        <w:t>院校及学科简介</w:t>
      </w:r>
    </w:p>
    <w:p w14:paraId="0FB8E862">
      <w:pPr>
        <w:snapToGrid w:val="0"/>
        <w:spacing w:line="360" w:lineRule="auto"/>
        <w:ind w:firstLine="600" w:firstLineChars="250"/>
        <w:contextualSpacing/>
        <w:rPr>
          <w:rFonts w:hint="eastAsia" w:ascii="宋体" w:hAnsi="宋体" w:eastAsia="宋体" w:cs="宋体"/>
          <w:sz w:val="24"/>
        </w:rPr>
      </w:pPr>
      <w:r>
        <w:rPr>
          <w:rFonts w:hint="eastAsia" w:ascii="宋体" w:hAnsi="宋体" w:eastAsia="宋体" w:cs="宋体"/>
          <w:sz w:val="24"/>
        </w:rPr>
        <w:t>三峡大学是经国家教育部批准，由原武汉水利电力大学（宜昌）和原湖北三峡学院于2000年5月25日合并组建。原武汉水利电力大学（宜昌）的前身是于1978年成立的葛洲坝水电工程学院，先后隶属于水利电力部、能源部、电力工业部、国家电力公司，1996年与原武汉水利电力大学合并组建新的武汉水利电力大学，成为“211工程”建设大学的重要组成部分。原湖北三峡学院是由原宜昌师范高等专科学校、宜昌医学高等专科学校、宜昌职业大学于1996年合并而成。</w:t>
      </w:r>
    </w:p>
    <w:p w14:paraId="660575EF">
      <w:pPr>
        <w:snapToGrid w:val="0"/>
        <w:spacing w:line="360" w:lineRule="auto"/>
        <w:ind w:firstLine="600" w:firstLineChars="250"/>
        <w:contextualSpacing/>
        <w:rPr>
          <w:rFonts w:hint="eastAsia" w:ascii="宋体" w:hAnsi="宋体" w:eastAsia="宋体" w:cs="宋体"/>
          <w:sz w:val="24"/>
          <w:lang w:eastAsia="zh-CN"/>
        </w:rPr>
      </w:pPr>
      <w:r>
        <w:rPr>
          <w:rFonts w:hint="eastAsia" w:ascii="宋体" w:hAnsi="宋体" w:eastAsia="宋体" w:cs="宋体"/>
          <w:sz w:val="24"/>
        </w:rPr>
        <w:t>学校办学历史最早可以追溯至1923年，1978年开始举办本科教育，是国家首批学士学位授予单位，1996年开始举办硕士研究生教育，1998年开始培养博士研究生学校面向31个省、自治区、直辖市及60余个国家（地区）招生，在全国全面进入一本招生。学校是国家水利部和湖北省人民政府共建大学，是教育部“卓越工程师教育培养计划”高校。2018年，学校被省人民政府列为“国内一流大学建设高校”</w:t>
      </w:r>
      <w:r>
        <w:rPr>
          <w:rFonts w:hint="eastAsia" w:ascii="宋体" w:hAnsi="宋体" w:eastAsia="宋体" w:cs="宋体"/>
          <w:sz w:val="24"/>
          <w:lang w:eastAsia="zh-CN"/>
        </w:rPr>
        <w:t>。目前，三峡大学已发展成为水利电力特色与优势比较明显、综合办学实力较强、享有较高社会声誉、具有较大发展潜力的综合性大学。</w:t>
      </w:r>
    </w:p>
    <w:p w14:paraId="4E7475D6">
      <w:pPr>
        <w:snapToGrid w:val="0"/>
        <w:spacing w:line="360" w:lineRule="auto"/>
        <w:ind w:firstLine="600" w:firstLineChars="250"/>
        <w:contextualSpacing/>
        <w:rPr>
          <w:rFonts w:hint="eastAsia" w:ascii="宋体" w:hAnsi="宋体" w:eastAsia="宋体" w:cs="宋体"/>
          <w:sz w:val="24"/>
        </w:rPr>
      </w:pPr>
      <w:r>
        <w:rPr>
          <w:rFonts w:hint="eastAsia" w:ascii="宋体" w:hAnsi="宋体" w:eastAsia="宋体" w:cs="宋体"/>
          <w:sz w:val="24"/>
        </w:rPr>
        <w:t>临床医学作为直接面对疾病和病人，研究疾病的病因、诊断、治疗和</w:t>
      </w:r>
      <w:r>
        <w:rPr>
          <w:rFonts w:hint="eastAsia" w:ascii="宋体" w:hAnsi="宋体" w:eastAsia="宋体" w:cs="宋体"/>
          <w:sz w:val="24"/>
        </w:rPr>
        <w:fldChar w:fldCharType="begin"/>
      </w:r>
      <w:r>
        <w:rPr>
          <w:rFonts w:hint="eastAsia" w:ascii="宋体" w:hAnsi="宋体" w:eastAsia="宋体" w:cs="宋体"/>
          <w:sz w:val="24"/>
        </w:rPr>
        <w:instrText xml:space="preserve"> HYPERLINK "https://baike.baidu.com/item/%E9%A2%84%E5%90%8E/8360987" \t "https://baike.baidu.com/item/%E4%B8%B4%E5%BA%8A%E5%8C%BB%E5%AD%A6/_blank" </w:instrText>
      </w:r>
      <w:r>
        <w:rPr>
          <w:rFonts w:hint="eastAsia" w:ascii="宋体" w:hAnsi="宋体" w:eastAsia="宋体" w:cs="宋体"/>
          <w:sz w:val="24"/>
        </w:rPr>
        <w:fldChar w:fldCharType="separate"/>
      </w:r>
      <w:r>
        <w:rPr>
          <w:rFonts w:hint="eastAsia" w:ascii="宋体" w:hAnsi="宋体" w:eastAsia="宋体" w:cs="宋体"/>
          <w:sz w:val="24"/>
        </w:rPr>
        <w:t>预后</w:t>
      </w:r>
      <w:r>
        <w:rPr>
          <w:rFonts w:hint="eastAsia" w:ascii="宋体" w:hAnsi="宋体" w:eastAsia="宋体" w:cs="宋体"/>
          <w:sz w:val="24"/>
        </w:rPr>
        <w:fldChar w:fldCharType="end"/>
      </w:r>
      <w:r>
        <w:rPr>
          <w:rFonts w:hint="eastAsia" w:ascii="宋体" w:hAnsi="宋体" w:eastAsia="宋体" w:cs="宋体"/>
          <w:sz w:val="24"/>
        </w:rPr>
        <w:t>，提高临床治疗水平，促进人体健康的科学，是和人们日常生活最密切的一门对病人直接实施治疗的科学，本校现开放了临床医学</w:t>
      </w:r>
      <w:r>
        <w:rPr>
          <w:rFonts w:hint="eastAsia" w:ascii="宋体" w:hAnsi="宋体" w:cs="宋体"/>
          <w:sz w:val="24"/>
          <w:lang w:eastAsia="zh-CN"/>
        </w:rPr>
        <w:t>（</w:t>
      </w:r>
      <w:r>
        <w:rPr>
          <w:rFonts w:hint="eastAsia" w:ascii="宋体" w:hAnsi="宋体" w:cs="宋体"/>
          <w:sz w:val="24"/>
          <w:lang w:val="en-US" w:eastAsia="zh-CN"/>
        </w:rPr>
        <w:t>专硕</w:t>
      </w:r>
      <w:r>
        <w:rPr>
          <w:rFonts w:hint="eastAsia" w:ascii="宋体" w:hAnsi="宋体" w:cs="宋体"/>
          <w:sz w:val="24"/>
          <w:lang w:eastAsia="zh-CN"/>
        </w:rPr>
        <w:t>）</w:t>
      </w:r>
      <w:r>
        <w:rPr>
          <w:rFonts w:hint="eastAsia" w:ascii="宋体" w:hAnsi="宋体" w:eastAsia="宋体" w:cs="宋体"/>
          <w:sz w:val="24"/>
        </w:rPr>
        <w:t>同等学力人员申请硕士学位课程班，用以培养更多的医学人才。</w:t>
      </w:r>
    </w:p>
    <w:p w14:paraId="0726E680">
      <w:pPr>
        <w:snapToGrid w:val="0"/>
        <w:spacing w:line="360" w:lineRule="auto"/>
        <w:ind w:firstLine="600" w:firstLineChars="250"/>
        <w:contextualSpacing/>
        <w:rPr>
          <w:rFonts w:hint="eastAsia" w:ascii="宋体" w:hAnsi="宋体" w:eastAsia="宋体" w:cs="宋体"/>
          <w:sz w:val="24"/>
        </w:rPr>
      </w:pPr>
    </w:p>
    <w:p w14:paraId="7636202A">
      <w:pPr>
        <w:numPr>
          <w:ilvl w:val="0"/>
          <w:numId w:val="0"/>
        </w:numPr>
        <w:snapToGrid w:val="0"/>
        <w:spacing w:line="360" w:lineRule="auto"/>
        <w:contextualSpacing/>
        <w:rPr>
          <w:rFonts w:ascii="宋体" w:hAnsi="宋体" w:eastAsia="宋体" w:cs="宋体"/>
          <w:b/>
          <w:bCs/>
          <w:sz w:val="24"/>
        </w:rPr>
      </w:pPr>
    </w:p>
    <w:p w14:paraId="054CD875">
      <w:pPr>
        <w:numPr>
          <w:ilvl w:val="0"/>
          <w:numId w:val="1"/>
        </w:numPr>
        <w:snapToGrid w:val="0"/>
        <w:spacing w:line="360" w:lineRule="auto"/>
        <w:contextualSpacing/>
        <w:rPr>
          <w:rFonts w:ascii="宋体" w:hAnsi="宋体" w:eastAsia="宋体" w:cs="宋体"/>
          <w:b/>
          <w:bCs/>
          <w:sz w:val="24"/>
        </w:rPr>
      </w:pPr>
      <w:r>
        <w:rPr>
          <w:rFonts w:hint="eastAsia" w:ascii="宋体" w:hAnsi="宋体" w:eastAsia="宋体" w:cs="宋体"/>
          <w:b/>
          <w:bCs/>
          <w:sz w:val="24"/>
        </w:rPr>
        <w:t>培养目标</w:t>
      </w:r>
    </w:p>
    <w:p w14:paraId="55423D24">
      <w:pPr>
        <w:numPr>
          <w:ilvl w:val="0"/>
          <w:numId w:val="0"/>
        </w:numPr>
        <w:snapToGrid w:val="0"/>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本学科专业主要通过学习和掌握临床医学和生物医学的基础理论和技能，和与医学相关的自然科学、行为科学和人文社会科学等基础知识，培养具备全面素质发展，具有重视医疗的伦理问题，团队合作与良好的人际沟通能力，能够妥善处理好医患，实事求是的科学态度并掌握正确解决问题的方法的，具备较好的职业道德素养、创新精神、实践能力和发展潜能的在医疗卫生领域从事临床医疗、预防、医学研究的临床医学的高素质医学专门人才。</w:t>
      </w:r>
    </w:p>
    <w:p w14:paraId="240449A3">
      <w:pPr>
        <w:numPr>
          <w:ilvl w:val="0"/>
          <w:numId w:val="0"/>
        </w:numPr>
        <w:snapToGrid w:val="0"/>
        <w:spacing w:line="360" w:lineRule="auto"/>
        <w:ind w:firstLine="480" w:firstLineChars="200"/>
        <w:contextualSpacing/>
        <w:rPr>
          <w:rFonts w:hint="eastAsia" w:ascii="宋体" w:hAnsi="宋体" w:eastAsia="宋体" w:cs="宋体"/>
          <w:sz w:val="24"/>
        </w:rPr>
      </w:pPr>
    </w:p>
    <w:p w14:paraId="4E5D39C9">
      <w:pPr>
        <w:numPr>
          <w:ilvl w:val="0"/>
          <w:numId w:val="1"/>
        </w:numPr>
        <w:snapToGrid w:val="0"/>
        <w:spacing w:line="360" w:lineRule="auto"/>
        <w:contextualSpacing/>
        <w:rPr>
          <w:rFonts w:ascii="宋体" w:hAnsi="宋体" w:eastAsia="宋体" w:cs="宋体"/>
          <w:b/>
          <w:bCs/>
          <w:sz w:val="24"/>
        </w:rPr>
      </w:pPr>
      <w:r>
        <w:rPr>
          <w:rFonts w:hint="eastAsia" w:ascii="宋体" w:hAnsi="宋体" w:eastAsia="宋体" w:cs="宋体"/>
          <w:b/>
          <w:bCs/>
          <w:sz w:val="24"/>
        </w:rPr>
        <w:t>培养优势</w:t>
      </w:r>
    </w:p>
    <w:p w14:paraId="20C7F7B3">
      <w:pPr>
        <w:widowControl/>
        <w:spacing w:line="360" w:lineRule="auto"/>
        <w:ind w:firstLine="482" w:firstLineChars="200"/>
        <w:contextualSpacing/>
        <w:jc w:val="left"/>
        <w:rPr>
          <w:rFonts w:hint="eastAsia" w:ascii="宋体" w:hAnsi="宋体" w:eastAsia="宋体" w:cs="宋体"/>
          <w:sz w:val="24"/>
        </w:rPr>
      </w:pPr>
      <w:r>
        <w:rPr>
          <w:rFonts w:hint="eastAsia" w:ascii="宋体" w:hAnsi="宋体" w:eastAsia="宋体" w:cs="宋体"/>
          <w:b/>
          <w:bCs/>
          <w:sz w:val="24"/>
        </w:rPr>
        <w:t>1、免试入学：</w:t>
      </w:r>
      <w:r>
        <w:rPr>
          <w:rFonts w:hint="eastAsia" w:ascii="宋体" w:hAnsi="宋体" w:eastAsia="宋体" w:cs="宋体"/>
          <w:sz w:val="24"/>
        </w:rPr>
        <w:t>临床医学类本科毕业生并获得学士学位</w:t>
      </w:r>
      <w:r>
        <w:rPr>
          <w:rFonts w:hint="eastAsia" w:ascii="宋体" w:hAnsi="宋体" w:cs="宋体"/>
          <w:sz w:val="24"/>
          <w:lang w:val="en-US" w:eastAsia="zh-CN"/>
        </w:rPr>
        <w:t>者</w:t>
      </w:r>
      <w:r>
        <w:rPr>
          <w:rFonts w:hint="eastAsia" w:ascii="宋体" w:hAnsi="宋体" w:eastAsia="宋体" w:cs="宋体"/>
          <w:sz w:val="24"/>
        </w:rPr>
        <w:t>即可报名参加，先学习再考试，有足够充分的准备和学习课程的时间；</w:t>
      </w:r>
    </w:p>
    <w:p w14:paraId="3DF1AF4D">
      <w:pPr>
        <w:spacing w:line="360" w:lineRule="auto"/>
        <w:ind w:firstLine="482" w:firstLineChars="200"/>
        <w:rPr>
          <w:rFonts w:hint="eastAsia" w:ascii="宋体" w:hAnsi="宋体" w:eastAsia="宋体" w:cs="宋体"/>
          <w:sz w:val="24"/>
          <w:lang w:eastAsia="zh-CN"/>
        </w:rPr>
      </w:pPr>
      <w:r>
        <w:rPr>
          <w:rFonts w:hint="eastAsia" w:ascii="宋体" w:hAnsi="宋体" w:eastAsia="宋体" w:cs="宋体"/>
          <w:b/>
          <w:bCs/>
          <w:sz w:val="24"/>
        </w:rPr>
        <w:t>2、专业优势:</w:t>
      </w:r>
      <w:r>
        <w:rPr>
          <w:rFonts w:hint="eastAsia" w:ascii="宋体" w:hAnsi="宋体" w:eastAsia="宋体" w:cs="宋体"/>
          <w:sz w:val="24"/>
        </w:rPr>
        <w:t>现学校现有4个博士后科研流动站，4个博士学位授权一级学科、1个博士专业学位授权点、27个硕士学位授权一级学科</w:t>
      </w:r>
      <w:r>
        <w:rPr>
          <w:rFonts w:hint="eastAsia" w:ascii="宋体" w:hAnsi="宋体" w:cs="宋体"/>
          <w:sz w:val="24"/>
          <w:lang w:eastAsia="zh-CN"/>
        </w:rPr>
        <w:t>；</w:t>
      </w:r>
    </w:p>
    <w:p w14:paraId="01492FDD">
      <w:pPr>
        <w:widowControl/>
        <w:spacing w:line="360" w:lineRule="auto"/>
        <w:ind w:firstLine="482" w:firstLineChars="200"/>
        <w:contextualSpacing/>
        <w:jc w:val="left"/>
        <w:rPr>
          <w:rFonts w:hint="eastAsia" w:ascii="宋体" w:hAnsi="宋体" w:eastAsia="宋体" w:cs="宋体"/>
          <w:sz w:val="24"/>
          <w:lang w:eastAsia="zh-CN"/>
        </w:rPr>
      </w:pPr>
      <w:r>
        <w:rPr>
          <w:rFonts w:hint="eastAsia" w:ascii="宋体" w:hAnsi="宋体" w:eastAsia="宋体" w:cs="宋体"/>
          <w:b/>
          <w:bCs/>
          <w:sz w:val="24"/>
        </w:rPr>
        <w:t>3、师资队伍：</w:t>
      </w:r>
      <w:r>
        <w:rPr>
          <w:rFonts w:hint="eastAsia" w:ascii="宋体" w:hAnsi="宋体" w:eastAsia="宋体" w:cs="宋体"/>
          <w:sz w:val="24"/>
        </w:rPr>
        <w:t>学校现有专任教师1686人，其中教授320人，副教授668人，具有博士学位的教师933人；有博士生导师172人，硕士生导师 2432人；拥有全学科的教授任职资格评审权</w:t>
      </w:r>
      <w:r>
        <w:rPr>
          <w:rFonts w:hint="eastAsia" w:ascii="宋体" w:hAnsi="宋体" w:cs="宋体"/>
          <w:sz w:val="24"/>
          <w:lang w:eastAsia="zh-CN"/>
        </w:rPr>
        <w:t>；</w:t>
      </w:r>
    </w:p>
    <w:p w14:paraId="30AF8294">
      <w:pPr>
        <w:spacing w:line="360" w:lineRule="auto"/>
        <w:ind w:firstLine="482" w:firstLineChars="200"/>
        <w:jc w:val="left"/>
        <w:rPr>
          <w:rFonts w:hint="eastAsia" w:ascii="宋体" w:hAnsi="宋体" w:cs="宋体"/>
          <w:sz w:val="24"/>
          <w:lang w:val="en-US" w:eastAsia="zh-CN"/>
        </w:rPr>
      </w:pPr>
      <w:r>
        <w:rPr>
          <w:rFonts w:hint="eastAsia" w:ascii="宋体" w:hAnsi="宋体" w:eastAsia="宋体" w:cs="宋体"/>
          <w:b/>
          <w:bCs/>
          <w:sz w:val="24"/>
        </w:rPr>
        <w:t>4、国际合作</w:t>
      </w:r>
      <w:r>
        <w:rPr>
          <w:rFonts w:hint="eastAsia" w:ascii="宋体" w:hAnsi="宋体" w:eastAsia="宋体" w:cs="宋体"/>
          <w:b/>
          <w:bCs/>
          <w:sz w:val="24"/>
          <w:lang w:eastAsia="zh-CN"/>
        </w:rPr>
        <w:t>：</w:t>
      </w:r>
      <w:r>
        <w:rPr>
          <w:rFonts w:hint="eastAsia" w:ascii="宋体" w:hAnsi="宋体" w:eastAsia="宋体" w:cs="宋体"/>
          <w:sz w:val="24"/>
        </w:rPr>
        <w:t>学校长期坚持开放办学方针，广泛开展国际交流与合作。学校是“联合国学术影响力”组织成员,“世界高校联盟”（N.E.W.S.）组织常设秘书处单位,“中国湖北—南亚大学联盟”主要发起单位，目前已与60多个国家和地区的170余所高校建立了长期稳定的合作关系</w:t>
      </w:r>
      <w:r>
        <w:rPr>
          <w:rFonts w:hint="eastAsia" w:ascii="宋体" w:hAnsi="宋体" w:cs="宋体"/>
          <w:sz w:val="24"/>
          <w:lang w:eastAsia="zh-CN"/>
        </w:rPr>
        <w:t>；</w:t>
      </w:r>
      <w:r>
        <w:rPr>
          <w:rFonts w:hint="eastAsia" w:ascii="宋体" w:hAnsi="宋体" w:cs="宋体"/>
          <w:sz w:val="24"/>
          <w:lang w:val="en-US" w:eastAsia="zh-CN"/>
        </w:rPr>
        <w:t xml:space="preserve">      </w:t>
      </w:r>
    </w:p>
    <w:p w14:paraId="33EC316F">
      <w:pPr>
        <w:spacing w:line="360" w:lineRule="auto"/>
        <w:ind w:firstLine="482" w:firstLineChars="200"/>
        <w:jc w:val="left"/>
        <w:rPr>
          <w:rFonts w:hint="eastAsia" w:ascii="宋体" w:hAnsi="宋体" w:cs="宋体"/>
          <w:sz w:val="24"/>
          <w:lang w:eastAsia="zh-CN"/>
        </w:rPr>
      </w:pPr>
      <w:r>
        <w:rPr>
          <w:rFonts w:hint="eastAsia" w:ascii="宋体" w:hAnsi="宋体" w:eastAsia="宋体" w:cs="宋体"/>
          <w:b/>
          <w:bCs/>
          <w:sz w:val="24"/>
        </w:rPr>
        <w:t>5、科研优势：</w:t>
      </w:r>
      <w:r>
        <w:rPr>
          <w:rFonts w:hint="eastAsia" w:ascii="宋体" w:hAnsi="宋体" w:cs="宋体"/>
          <w:sz w:val="24"/>
          <w:lang w:eastAsia="zh-CN"/>
        </w:rPr>
        <w:t>学校获批2020年度国家知识产权试点高校，近5年学校承担各级各类科研项目7000余项，其中国家重点研发计划、国家科技重大专项、国家自然科学基金重点和一般项目、国家社会科学基金重点和一般项目、国家软科学研究计划项目等重点科研项目800余项；</w:t>
      </w:r>
    </w:p>
    <w:p w14:paraId="33E4654E">
      <w:pPr>
        <w:snapToGrid w:val="0"/>
        <w:spacing w:line="360" w:lineRule="auto"/>
        <w:ind w:firstLine="602" w:firstLineChars="250"/>
        <w:contextualSpacing/>
        <w:jc w:val="left"/>
        <w:rPr>
          <w:rFonts w:hint="eastAsia" w:ascii="宋体" w:hAnsi="宋体" w:cs="宋体"/>
          <w:sz w:val="24"/>
          <w:lang w:eastAsia="zh-CN"/>
        </w:rPr>
      </w:pPr>
      <w:r>
        <w:rPr>
          <w:rFonts w:hint="eastAsia" w:ascii="宋体" w:hAnsi="宋体" w:eastAsia="宋体" w:cs="宋体"/>
          <w:b/>
          <w:bCs/>
          <w:sz w:val="24"/>
        </w:rPr>
        <w:t>6、社会服务：</w:t>
      </w:r>
      <w:r>
        <w:rPr>
          <w:rFonts w:hint="eastAsia" w:ascii="宋体" w:hAnsi="宋体" w:eastAsia="宋体" w:cs="宋体"/>
          <w:b w:val="0"/>
          <w:bCs w:val="0"/>
          <w:sz w:val="24"/>
        </w:rPr>
        <w:t>学校深入推进党的建设新的伟大工程，不断增强党的政治领导力、思想引领力、群众组织力、社会号召力。</w:t>
      </w:r>
      <w:r>
        <w:rPr>
          <w:rFonts w:hint="eastAsia" w:ascii="宋体" w:hAnsi="宋体" w:cs="宋体"/>
          <w:sz w:val="24"/>
          <w:lang w:eastAsia="zh-CN"/>
        </w:rPr>
        <w:t>学校坚持以党的二十大精神和习近平新时代中国特色社会主义思想为指导，大力实施“学术立校、需求导向、特色发展”三大战略，为实现“水利电力特色鲜明的国内一流大学”办学目标而努力奋斗。</w:t>
      </w:r>
    </w:p>
    <w:p w14:paraId="5CF923E0">
      <w:pPr>
        <w:snapToGrid w:val="0"/>
        <w:spacing w:line="360" w:lineRule="auto"/>
        <w:ind w:firstLine="600" w:firstLineChars="250"/>
        <w:contextualSpacing/>
        <w:jc w:val="left"/>
        <w:rPr>
          <w:rFonts w:hint="eastAsia" w:ascii="宋体" w:hAnsi="宋体" w:cs="宋体"/>
          <w:sz w:val="24"/>
          <w:lang w:eastAsia="zh-CN"/>
        </w:rPr>
      </w:pPr>
    </w:p>
    <w:p w14:paraId="35A78E60">
      <w:pPr>
        <w:numPr>
          <w:ilvl w:val="0"/>
          <w:numId w:val="1"/>
        </w:numPr>
        <w:snapToGrid w:val="0"/>
        <w:spacing w:line="360" w:lineRule="auto"/>
        <w:contextualSpacing/>
        <w:rPr>
          <w:b/>
          <w:bCs/>
          <w:sz w:val="24"/>
          <w:szCs w:val="24"/>
        </w:rPr>
      </w:pPr>
      <w:r>
        <w:rPr>
          <w:rFonts w:hint="eastAsia" w:ascii="宋体" w:hAnsi="宋体" w:eastAsia="宋体" w:cs="宋体"/>
          <w:b/>
          <w:bCs/>
          <w:sz w:val="24"/>
          <w:szCs w:val="24"/>
        </w:rPr>
        <w:t>学科专业</w:t>
      </w:r>
    </w:p>
    <w:p w14:paraId="2F0C55B9">
      <w:pPr>
        <w:numPr>
          <w:ilvl w:val="0"/>
          <w:numId w:val="0"/>
        </w:numPr>
        <w:snapToGrid w:val="0"/>
        <w:spacing w:line="360" w:lineRule="auto"/>
        <w:contextualSpacing/>
        <w:rPr>
          <w:b/>
          <w:bCs/>
          <w:sz w:val="11"/>
          <w:szCs w:val="15"/>
        </w:rPr>
      </w:pPr>
    </w:p>
    <w:tbl>
      <w:tblPr>
        <w:tblStyle w:val="5"/>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703"/>
        <w:gridCol w:w="3385"/>
        <w:gridCol w:w="1703"/>
        <w:gridCol w:w="1728"/>
      </w:tblGrid>
      <w:tr w14:paraId="0C4D2B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1"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959C8">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一级学科</w:t>
            </w:r>
          </w:p>
        </w:tc>
        <w:tc>
          <w:tcPr>
            <w:tcW w:w="19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EDDEA">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二级学科</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A126B">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国考科目</w:t>
            </w:r>
          </w:p>
        </w:tc>
        <w:tc>
          <w:tcPr>
            <w:tcW w:w="10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8C266">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授予学位</w:t>
            </w:r>
          </w:p>
        </w:tc>
      </w:tr>
      <w:tr w14:paraId="3A8D32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1" w:hRule="atLeast"/>
        </w:trPr>
        <w:tc>
          <w:tcPr>
            <w:tcW w:w="999" w:type="pct"/>
            <w:vMerge w:val="restart"/>
            <w:tcBorders>
              <w:top w:val="single" w:color="000000" w:sz="4" w:space="0"/>
              <w:left w:val="single" w:color="000000" w:sz="4" w:space="0"/>
              <w:right w:val="single" w:color="000000" w:sz="4" w:space="0"/>
            </w:tcBorders>
            <w:shd w:val="clear" w:color="auto" w:fill="auto"/>
            <w:vAlign w:val="center"/>
          </w:tcPr>
          <w:p w14:paraId="5B41401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临床医学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w:t>
            </w:r>
            <w:r>
              <w:rPr>
                <w:rFonts w:hint="eastAsia" w:ascii="宋体" w:hAnsi="宋体" w:cs="宋体"/>
                <w:i w:val="0"/>
                <w:iCs w:val="0"/>
                <w:color w:val="000000"/>
                <w:kern w:val="0"/>
                <w:sz w:val="24"/>
                <w:szCs w:val="24"/>
                <w:u w:val="none"/>
                <w:lang w:val="en-US" w:eastAsia="zh-CN" w:bidi="ar"/>
              </w:rPr>
              <w:t>专</w:t>
            </w:r>
            <w:r>
              <w:rPr>
                <w:rFonts w:hint="eastAsia" w:ascii="宋体" w:hAnsi="宋体" w:eastAsia="宋体" w:cs="宋体"/>
                <w:i w:val="0"/>
                <w:iCs w:val="0"/>
                <w:color w:val="000000"/>
                <w:kern w:val="0"/>
                <w:sz w:val="24"/>
                <w:szCs w:val="24"/>
                <w:u w:val="none"/>
                <w:lang w:val="en-US" w:eastAsia="zh-CN" w:bidi="ar"/>
              </w:rPr>
              <w:t>硕）</w:t>
            </w:r>
          </w:p>
        </w:tc>
        <w:tc>
          <w:tcPr>
            <w:tcW w:w="19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91FC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内科学</w:t>
            </w:r>
          </w:p>
        </w:tc>
        <w:tc>
          <w:tcPr>
            <w:tcW w:w="999" w:type="pct"/>
            <w:vMerge w:val="restart"/>
            <w:tcBorders>
              <w:top w:val="single" w:color="000000" w:sz="4" w:space="0"/>
              <w:left w:val="single" w:color="000000" w:sz="4" w:space="0"/>
              <w:right w:val="single" w:color="000000" w:sz="4" w:space="0"/>
            </w:tcBorders>
            <w:shd w:val="clear" w:color="auto" w:fill="auto"/>
            <w:vAlign w:val="center"/>
          </w:tcPr>
          <w:p w14:paraId="739028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专业学科</w:t>
            </w:r>
            <w:r>
              <w:rPr>
                <w:rFonts w:hint="eastAsia" w:ascii="宋体" w:hAnsi="宋体" w:eastAsia="宋体" w:cs="宋体"/>
                <w:i w:val="0"/>
                <w:iCs w:val="0"/>
                <w:color w:val="000000"/>
                <w:kern w:val="0"/>
                <w:sz w:val="24"/>
                <w:szCs w:val="24"/>
                <w:u w:val="none"/>
                <w:lang w:val="en-US" w:eastAsia="zh-CN" w:bidi="ar"/>
              </w:rPr>
              <w:t>综合</w:t>
            </w:r>
            <w:r>
              <w:rPr>
                <w:rFonts w:hint="eastAsia" w:ascii="宋体" w:hAnsi="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英语</w:t>
            </w:r>
          </w:p>
        </w:tc>
        <w:tc>
          <w:tcPr>
            <w:tcW w:w="1014" w:type="pct"/>
            <w:vMerge w:val="restart"/>
            <w:tcBorders>
              <w:top w:val="single" w:color="000000" w:sz="4" w:space="0"/>
              <w:left w:val="single" w:color="000000" w:sz="4" w:space="0"/>
              <w:right w:val="single" w:color="000000" w:sz="4" w:space="0"/>
            </w:tcBorders>
            <w:shd w:val="clear" w:color="auto" w:fill="auto"/>
            <w:noWrap/>
            <w:vAlign w:val="center"/>
          </w:tcPr>
          <w:p w14:paraId="47A2B71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临床医学硕士</w:t>
            </w:r>
          </w:p>
          <w:p w14:paraId="6ED61971">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专业学位</w:t>
            </w:r>
          </w:p>
        </w:tc>
      </w:tr>
      <w:tr w14:paraId="3943BC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1" w:hRule="atLeast"/>
        </w:trPr>
        <w:tc>
          <w:tcPr>
            <w:tcW w:w="999" w:type="pct"/>
            <w:vMerge w:val="continue"/>
            <w:tcBorders>
              <w:left w:val="single" w:color="000000" w:sz="4" w:space="0"/>
              <w:right w:val="single" w:color="000000" w:sz="4" w:space="0"/>
            </w:tcBorders>
            <w:shd w:val="clear" w:color="auto" w:fill="auto"/>
            <w:vAlign w:val="center"/>
          </w:tcPr>
          <w:p w14:paraId="140443F1">
            <w:pPr>
              <w:jc w:val="center"/>
              <w:rPr>
                <w:rFonts w:hint="eastAsia" w:ascii="宋体" w:hAnsi="宋体" w:eastAsia="宋体" w:cs="宋体"/>
                <w:i w:val="0"/>
                <w:iCs w:val="0"/>
                <w:color w:val="000000"/>
                <w:sz w:val="24"/>
                <w:szCs w:val="24"/>
                <w:u w:val="none"/>
              </w:rPr>
            </w:pPr>
          </w:p>
        </w:tc>
        <w:tc>
          <w:tcPr>
            <w:tcW w:w="19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A7D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儿科学</w:t>
            </w:r>
          </w:p>
        </w:tc>
        <w:tc>
          <w:tcPr>
            <w:tcW w:w="999" w:type="pct"/>
            <w:vMerge w:val="continue"/>
            <w:tcBorders>
              <w:left w:val="single" w:color="000000" w:sz="4" w:space="0"/>
              <w:right w:val="single" w:color="000000" w:sz="4" w:space="0"/>
            </w:tcBorders>
            <w:shd w:val="clear" w:color="auto" w:fill="auto"/>
            <w:vAlign w:val="center"/>
          </w:tcPr>
          <w:p w14:paraId="534A36B3">
            <w:pPr>
              <w:jc w:val="center"/>
              <w:rPr>
                <w:rFonts w:hint="eastAsia" w:ascii="宋体" w:hAnsi="宋体" w:eastAsia="宋体" w:cs="宋体"/>
                <w:i w:val="0"/>
                <w:iCs w:val="0"/>
                <w:color w:val="000000"/>
                <w:sz w:val="24"/>
                <w:szCs w:val="24"/>
                <w:u w:val="none"/>
              </w:rPr>
            </w:pPr>
          </w:p>
        </w:tc>
        <w:tc>
          <w:tcPr>
            <w:tcW w:w="1014" w:type="pct"/>
            <w:vMerge w:val="continue"/>
            <w:tcBorders>
              <w:left w:val="single" w:color="000000" w:sz="4" w:space="0"/>
              <w:right w:val="single" w:color="000000" w:sz="4" w:space="0"/>
            </w:tcBorders>
            <w:shd w:val="clear" w:color="auto" w:fill="auto"/>
            <w:noWrap/>
            <w:vAlign w:val="center"/>
          </w:tcPr>
          <w:p w14:paraId="18B475E2">
            <w:pPr>
              <w:jc w:val="center"/>
              <w:rPr>
                <w:rFonts w:hint="eastAsia" w:ascii="宋体" w:hAnsi="宋体" w:eastAsia="宋体" w:cs="宋体"/>
                <w:i w:val="0"/>
                <w:iCs w:val="0"/>
                <w:color w:val="000000"/>
                <w:sz w:val="24"/>
                <w:szCs w:val="24"/>
                <w:u w:val="none"/>
              </w:rPr>
            </w:pPr>
          </w:p>
        </w:tc>
      </w:tr>
      <w:tr w14:paraId="63B04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1" w:hRule="atLeast"/>
        </w:trPr>
        <w:tc>
          <w:tcPr>
            <w:tcW w:w="999" w:type="pct"/>
            <w:vMerge w:val="continue"/>
            <w:tcBorders>
              <w:left w:val="single" w:color="000000" w:sz="4" w:space="0"/>
              <w:right w:val="single" w:color="000000" w:sz="4" w:space="0"/>
            </w:tcBorders>
            <w:shd w:val="clear" w:color="auto" w:fill="auto"/>
            <w:vAlign w:val="center"/>
          </w:tcPr>
          <w:p w14:paraId="7168C188">
            <w:pPr>
              <w:jc w:val="center"/>
              <w:rPr>
                <w:rFonts w:hint="eastAsia" w:ascii="宋体" w:hAnsi="宋体" w:eastAsia="宋体" w:cs="宋体"/>
                <w:i w:val="0"/>
                <w:iCs w:val="0"/>
                <w:color w:val="000000"/>
                <w:sz w:val="24"/>
                <w:szCs w:val="24"/>
                <w:u w:val="none"/>
              </w:rPr>
            </w:pPr>
          </w:p>
        </w:tc>
        <w:tc>
          <w:tcPr>
            <w:tcW w:w="19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993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神经病学</w:t>
            </w:r>
          </w:p>
        </w:tc>
        <w:tc>
          <w:tcPr>
            <w:tcW w:w="999" w:type="pct"/>
            <w:vMerge w:val="continue"/>
            <w:tcBorders>
              <w:left w:val="single" w:color="000000" w:sz="4" w:space="0"/>
              <w:right w:val="single" w:color="000000" w:sz="4" w:space="0"/>
            </w:tcBorders>
            <w:shd w:val="clear" w:color="auto" w:fill="auto"/>
            <w:vAlign w:val="center"/>
          </w:tcPr>
          <w:p w14:paraId="628369E8">
            <w:pPr>
              <w:jc w:val="center"/>
              <w:rPr>
                <w:rFonts w:hint="eastAsia" w:ascii="宋体" w:hAnsi="宋体" w:eastAsia="宋体" w:cs="宋体"/>
                <w:i w:val="0"/>
                <w:iCs w:val="0"/>
                <w:color w:val="000000"/>
                <w:sz w:val="24"/>
                <w:szCs w:val="24"/>
                <w:u w:val="none"/>
              </w:rPr>
            </w:pPr>
          </w:p>
        </w:tc>
        <w:tc>
          <w:tcPr>
            <w:tcW w:w="1014" w:type="pct"/>
            <w:vMerge w:val="continue"/>
            <w:tcBorders>
              <w:left w:val="single" w:color="000000" w:sz="4" w:space="0"/>
              <w:right w:val="single" w:color="000000" w:sz="4" w:space="0"/>
            </w:tcBorders>
            <w:shd w:val="clear" w:color="auto" w:fill="auto"/>
            <w:noWrap/>
            <w:vAlign w:val="center"/>
          </w:tcPr>
          <w:p w14:paraId="6E5D18AB">
            <w:pPr>
              <w:jc w:val="center"/>
              <w:rPr>
                <w:rFonts w:hint="eastAsia" w:ascii="宋体" w:hAnsi="宋体" w:eastAsia="宋体" w:cs="宋体"/>
                <w:i w:val="0"/>
                <w:iCs w:val="0"/>
                <w:color w:val="000000"/>
                <w:sz w:val="24"/>
                <w:szCs w:val="24"/>
                <w:u w:val="none"/>
              </w:rPr>
            </w:pPr>
          </w:p>
        </w:tc>
      </w:tr>
      <w:tr w14:paraId="22B43D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1" w:hRule="atLeast"/>
        </w:trPr>
        <w:tc>
          <w:tcPr>
            <w:tcW w:w="999" w:type="pct"/>
            <w:vMerge w:val="continue"/>
            <w:tcBorders>
              <w:left w:val="single" w:color="000000" w:sz="4" w:space="0"/>
              <w:right w:val="single" w:color="000000" w:sz="4" w:space="0"/>
            </w:tcBorders>
            <w:shd w:val="clear" w:color="auto" w:fill="auto"/>
            <w:vAlign w:val="center"/>
          </w:tcPr>
          <w:p w14:paraId="2CDD7EC0">
            <w:pPr>
              <w:jc w:val="center"/>
              <w:rPr>
                <w:rFonts w:hint="eastAsia" w:ascii="宋体" w:hAnsi="宋体" w:eastAsia="宋体" w:cs="宋体"/>
                <w:i w:val="0"/>
                <w:iCs w:val="0"/>
                <w:color w:val="000000"/>
                <w:sz w:val="24"/>
                <w:szCs w:val="24"/>
                <w:u w:val="none"/>
              </w:rPr>
            </w:pPr>
          </w:p>
        </w:tc>
        <w:tc>
          <w:tcPr>
            <w:tcW w:w="19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5CD2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影像医学与核医学</w:t>
            </w:r>
          </w:p>
        </w:tc>
        <w:tc>
          <w:tcPr>
            <w:tcW w:w="999" w:type="pct"/>
            <w:vMerge w:val="continue"/>
            <w:tcBorders>
              <w:left w:val="single" w:color="000000" w:sz="4" w:space="0"/>
              <w:right w:val="single" w:color="000000" w:sz="4" w:space="0"/>
            </w:tcBorders>
            <w:shd w:val="clear" w:color="auto" w:fill="auto"/>
            <w:vAlign w:val="center"/>
          </w:tcPr>
          <w:p w14:paraId="0AABD5A2">
            <w:pPr>
              <w:jc w:val="center"/>
              <w:rPr>
                <w:rFonts w:hint="eastAsia" w:ascii="宋体" w:hAnsi="宋体" w:eastAsia="宋体" w:cs="宋体"/>
                <w:i w:val="0"/>
                <w:iCs w:val="0"/>
                <w:color w:val="000000"/>
                <w:sz w:val="24"/>
                <w:szCs w:val="24"/>
                <w:u w:val="none"/>
              </w:rPr>
            </w:pPr>
          </w:p>
        </w:tc>
        <w:tc>
          <w:tcPr>
            <w:tcW w:w="1014" w:type="pct"/>
            <w:vMerge w:val="continue"/>
            <w:tcBorders>
              <w:left w:val="single" w:color="000000" w:sz="4" w:space="0"/>
              <w:right w:val="single" w:color="000000" w:sz="4" w:space="0"/>
            </w:tcBorders>
            <w:shd w:val="clear" w:color="auto" w:fill="auto"/>
            <w:noWrap/>
            <w:vAlign w:val="center"/>
          </w:tcPr>
          <w:p w14:paraId="27292069">
            <w:pPr>
              <w:jc w:val="center"/>
              <w:rPr>
                <w:rFonts w:hint="eastAsia" w:ascii="宋体" w:hAnsi="宋体" w:eastAsia="宋体" w:cs="宋体"/>
                <w:i w:val="0"/>
                <w:iCs w:val="0"/>
                <w:color w:val="000000"/>
                <w:sz w:val="24"/>
                <w:szCs w:val="24"/>
                <w:u w:val="none"/>
              </w:rPr>
            </w:pPr>
          </w:p>
        </w:tc>
      </w:tr>
      <w:tr w14:paraId="2E5448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1" w:hRule="atLeast"/>
        </w:trPr>
        <w:tc>
          <w:tcPr>
            <w:tcW w:w="999" w:type="pct"/>
            <w:vMerge w:val="continue"/>
            <w:tcBorders>
              <w:left w:val="single" w:color="000000" w:sz="4" w:space="0"/>
              <w:right w:val="single" w:color="000000" w:sz="4" w:space="0"/>
            </w:tcBorders>
            <w:shd w:val="clear" w:color="auto" w:fill="auto"/>
            <w:vAlign w:val="center"/>
          </w:tcPr>
          <w:p w14:paraId="3277A2E0">
            <w:pPr>
              <w:jc w:val="center"/>
              <w:rPr>
                <w:rFonts w:hint="eastAsia" w:ascii="宋体" w:hAnsi="宋体" w:eastAsia="宋体" w:cs="宋体"/>
                <w:i w:val="0"/>
                <w:iCs w:val="0"/>
                <w:color w:val="000000"/>
                <w:sz w:val="24"/>
                <w:szCs w:val="24"/>
                <w:u w:val="none"/>
              </w:rPr>
            </w:pPr>
          </w:p>
        </w:tc>
        <w:tc>
          <w:tcPr>
            <w:tcW w:w="19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11C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外科学</w:t>
            </w:r>
          </w:p>
        </w:tc>
        <w:tc>
          <w:tcPr>
            <w:tcW w:w="999" w:type="pct"/>
            <w:vMerge w:val="continue"/>
            <w:tcBorders>
              <w:left w:val="single" w:color="000000" w:sz="4" w:space="0"/>
              <w:right w:val="single" w:color="000000" w:sz="4" w:space="0"/>
            </w:tcBorders>
            <w:shd w:val="clear" w:color="auto" w:fill="auto"/>
            <w:vAlign w:val="center"/>
          </w:tcPr>
          <w:p w14:paraId="47502750">
            <w:pPr>
              <w:jc w:val="center"/>
              <w:rPr>
                <w:rFonts w:hint="eastAsia" w:ascii="宋体" w:hAnsi="宋体" w:eastAsia="宋体" w:cs="宋体"/>
                <w:i w:val="0"/>
                <w:iCs w:val="0"/>
                <w:color w:val="000000"/>
                <w:sz w:val="24"/>
                <w:szCs w:val="24"/>
                <w:u w:val="none"/>
              </w:rPr>
            </w:pPr>
          </w:p>
        </w:tc>
        <w:tc>
          <w:tcPr>
            <w:tcW w:w="1014" w:type="pct"/>
            <w:vMerge w:val="continue"/>
            <w:tcBorders>
              <w:left w:val="single" w:color="000000" w:sz="4" w:space="0"/>
              <w:right w:val="single" w:color="000000" w:sz="4" w:space="0"/>
            </w:tcBorders>
            <w:shd w:val="clear" w:color="auto" w:fill="auto"/>
            <w:noWrap/>
            <w:vAlign w:val="center"/>
          </w:tcPr>
          <w:p w14:paraId="457AA552">
            <w:pPr>
              <w:jc w:val="center"/>
              <w:rPr>
                <w:rFonts w:hint="eastAsia" w:ascii="宋体" w:hAnsi="宋体" w:eastAsia="宋体" w:cs="宋体"/>
                <w:i w:val="0"/>
                <w:iCs w:val="0"/>
                <w:color w:val="000000"/>
                <w:sz w:val="24"/>
                <w:szCs w:val="24"/>
                <w:u w:val="none"/>
              </w:rPr>
            </w:pPr>
          </w:p>
        </w:tc>
      </w:tr>
      <w:tr w14:paraId="3F4201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1" w:hRule="atLeast"/>
        </w:trPr>
        <w:tc>
          <w:tcPr>
            <w:tcW w:w="999" w:type="pct"/>
            <w:vMerge w:val="continue"/>
            <w:tcBorders>
              <w:left w:val="single" w:color="000000" w:sz="4" w:space="0"/>
              <w:right w:val="single" w:color="000000" w:sz="4" w:space="0"/>
            </w:tcBorders>
            <w:shd w:val="clear" w:color="auto" w:fill="auto"/>
            <w:vAlign w:val="center"/>
          </w:tcPr>
          <w:p w14:paraId="2A40DBDF">
            <w:pPr>
              <w:jc w:val="center"/>
              <w:rPr>
                <w:rFonts w:hint="eastAsia" w:ascii="宋体" w:hAnsi="宋体" w:eastAsia="宋体" w:cs="宋体"/>
                <w:i w:val="0"/>
                <w:iCs w:val="0"/>
                <w:color w:val="000000"/>
                <w:sz w:val="24"/>
                <w:szCs w:val="24"/>
                <w:u w:val="none"/>
              </w:rPr>
            </w:pPr>
          </w:p>
        </w:tc>
        <w:tc>
          <w:tcPr>
            <w:tcW w:w="19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A49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妇产科学</w:t>
            </w:r>
          </w:p>
        </w:tc>
        <w:tc>
          <w:tcPr>
            <w:tcW w:w="999" w:type="pct"/>
            <w:vMerge w:val="continue"/>
            <w:tcBorders>
              <w:left w:val="single" w:color="000000" w:sz="4" w:space="0"/>
              <w:right w:val="single" w:color="000000" w:sz="4" w:space="0"/>
            </w:tcBorders>
            <w:shd w:val="clear" w:color="auto" w:fill="auto"/>
            <w:vAlign w:val="center"/>
          </w:tcPr>
          <w:p w14:paraId="420FC2C6">
            <w:pPr>
              <w:jc w:val="center"/>
              <w:rPr>
                <w:rFonts w:hint="eastAsia" w:ascii="宋体" w:hAnsi="宋体" w:eastAsia="宋体" w:cs="宋体"/>
                <w:i w:val="0"/>
                <w:iCs w:val="0"/>
                <w:color w:val="000000"/>
                <w:sz w:val="24"/>
                <w:szCs w:val="24"/>
                <w:u w:val="none"/>
              </w:rPr>
            </w:pPr>
          </w:p>
        </w:tc>
        <w:tc>
          <w:tcPr>
            <w:tcW w:w="1014" w:type="pct"/>
            <w:vMerge w:val="continue"/>
            <w:tcBorders>
              <w:left w:val="single" w:color="000000" w:sz="4" w:space="0"/>
              <w:right w:val="single" w:color="000000" w:sz="4" w:space="0"/>
            </w:tcBorders>
            <w:shd w:val="clear" w:color="auto" w:fill="auto"/>
            <w:noWrap/>
            <w:vAlign w:val="center"/>
          </w:tcPr>
          <w:p w14:paraId="14A305C6">
            <w:pPr>
              <w:jc w:val="center"/>
              <w:rPr>
                <w:rFonts w:hint="eastAsia" w:ascii="宋体" w:hAnsi="宋体" w:eastAsia="宋体" w:cs="宋体"/>
                <w:i w:val="0"/>
                <w:iCs w:val="0"/>
                <w:color w:val="000000"/>
                <w:sz w:val="24"/>
                <w:szCs w:val="24"/>
                <w:u w:val="none"/>
              </w:rPr>
            </w:pPr>
          </w:p>
        </w:tc>
      </w:tr>
      <w:tr w14:paraId="43336D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01" w:hRule="atLeast"/>
        </w:trPr>
        <w:tc>
          <w:tcPr>
            <w:tcW w:w="999" w:type="pct"/>
            <w:vMerge w:val="continue"/>
            <w:tcBorders>
              <w:left w:val="single" w:color="000000" w:sz="4" w:space="0"/>
              <w:right w:val="single" w:color="000000" w:sz="4" w:space="0"/>
            </w:tcBorders>
            <w:shd w:val="clear" w:color="auto" w:fill="auto"/>
            <w:vAlign w:val="center"/>
          </w:tcPr>
          <w:p w14:paraId="23186560">
            <w:pPr>
              <w:jc w:val="center"/>
              <w:rPr>
                <w:rFonts w:hint="eastAsia" w:ascii="宋体" w:hAnsi="宋体" w:eastAsia="宋体" w:cs="宋体"/>
                <w:i w:val="0"/>
                <w:iCs w:val="0"/>
                <w:color w:val="000000"/>
                <w:sz w:val="24"/>
                <w:szCs w:val="24"/>
                <w:u w:val="none"/>
              </w:rPr>
            </w:pPr>
          </w:p>
        </w:tc>
        <w:tc>
          <w:tcPr>
            <w:tcW w:w="19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4EE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眼科学</w:t>
            </w:r>
          </w:p>
        </w:tc>
        <w:tc>
          <w:tcPr>
            <w:tcW w:w="999" w:type="pct"/>
            <w:vMerge w:val="continue"/>
            <w:tcBorders>
              <w:left w:val="single" w:color="000000" w:sz="4" w:space="0"/>
              <w:right w:val="single" w:color="000000" w:sz="4" w:space="0"/>
            </w:tcBorders>
            <w:shd w:val="clear" w:color="auto" w:fill="auto"/>
            <w:vAlign w:val="center"/>
          </w:tcPr>
          <w:p w14:paraId="16A71DC0">
            <w:pPr>
              <w:jc w:val="center"/>
              <w:rPr>
                <w:rFonts w:hint="eastAsia" w:ascii="宋体" w:hAnsi="宋体" w:eastAsia="宋体" w:cs="宋体"/>
                <w:i w:val="0"/>
                <w:iCs w:val="0"/>
                <w:color w:val="000000"/>
                <w:sz w:val="24"/>
                <w:szCs w:val="24"/>
                <w:u w:val="none"/>
              </w:rPr>
            </w:pPr>
          </w:p>
        </w:tc>
        <w:tc>
          <w:tcPr>
            <w:tcW w:w="1014" w:type="pct"/>
            <w:vMerge w:val="continue"/>
            <w:tcBorders>
              <w:left w:val="single" w:color="000000" w:sz="4" w:space="0"/>
              <w:right w:val="single" w:color="000000" w:sz="4" w:space="0"/>
            </w:tcBorders>
            <w:shd w:val="clear" w:color="auto" w:fill="auto"/>
            <w:noWrap/>
            <w:vAlign w:val="center"/>
          </w:tcPr>
          <w:p w14:paraId="630F6014">
            <w:pPr>
              <w:jc w:val="center"/>
              <w:rPr>
                <w:rFonts w:hint="eastAsia" w:ascii="宋体" w:hAnsi="宋体" w:eastAsia="宋体" w:cs="宋体"/>
                <w:i w:val="0"/>
                <w:iCs w:val="0"/>
                <w:color w:val="000000"/>
                <w:sz w:val="24"/>
                <w:szCs w:val="24"/>
                <w:u w:val="none"/>
              </w:rPr>
            </w:pPr>
          </w:p>
        </w:tc>
      </w:tr>
      <w:tr w14:paraId="4FCF30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trPr>
        <w:tc>
          <w:tcPr>
            <w:tcW w:w="999" w:type="pct"/>
            <w:vMerge w:val="continue"/>
            <w:tcBorders>
              <w:left w:val="single" w:color="000000" w:sz="4" w:space="0"/>
              <w:right w:val="single" w:color="000000" w:sz="4" w:space="0"/>
            </w:tcBorders>
            <w:shd w:val="clear" w:color="auto" w:fill="auto"/>
            <w:vAlign w:val="center"/>
          </w:tcPr>
          <w:p w14:paraId="2A21497B">
            <w:pPr>
              <w:jc w:val="center"/>
              <w:rPr>
                <w:rFonts w:hint="eastAsia" w:ascii="宋体" w:hAnsi="宋体" w:eastAsia="宋体" w:cs="宋体"/>
                <w:i w:val="0"/>
                <w:iCs w:val="0"/>
                <w:color w:val="000000"/>
                <w:sz w:val="24"/>
                <w:szCs w:val="24"/>
                <w:u w:val="none"/>
              </w:rPr>
            </w:pPr>
          </w:p>
        </w:tc>
        <w:tc>
          <w:tcPr>
            <w:tcW w:w="19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57E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耳鼻咽喉科学</w:t>
            </w:r>
          </w:p>
        </w:tc>
        <w:tc>
          <w:tcPr>
            <w:tcW w:w="999" w:type="pct"/>
            <w:vMerge w:val="continue"/>
            <w:tcBorders>
              <w:left w:val="single" w:color="000000" w:sz="4" w:space="0"/>
              <w:right w:val="single" w:color="000000" w:sz="4" w:space="0"/>
            </w:tcBorders>
            <w:shd w:val="clear" w:color="auto" w:fill="auto"/>
            <w:vAlign w:val="center"/>
          </w:tcPr>
          <w:p w14:paraId="360B4335">
            <w:pPr>
              <w:jc w:val="center"/>
              <w:rPr>
                <w:rFonts w:hint="eastAsia" w:ascii="宋体" w:hAnsi="宋体" w:eastAsia="宋体" w:cs="宋体"/>
                <w:i w:val="0"/>
                <w:iCs w:val="0"/>
                <w:color w:val="000000"/>
                <w:sz w:val="24"/>
                <w:szCs w:val="24"/>
                <w:u w:val="none"/>
              </w:rPr>
            </w:pPr>
          </w:p>
        </w:tc>
        <w:tc>
          <w:tcPr>
            <w:tcW w:w="1014" w:type="pct"/>
            <w:vMerge w:val="continue"/>
            <w:tcBorders>
              <w:left w:val="single" w:color="000000" w:sz="4" w:space="0"/>
              <w:right w:val="single" w:color="000000" w:sz="4" w:space="0"/>
            </w:tcBorders>
            <w:shd w:val="clear" w:color="auto" w:fill="auto"/>
            <w:noWrap/>
            <w:vAlign w:val="center"/>
          </w:tcPr>
          <w:p w14:paraId="45C0DED6">
            <w:pPr>
              <w:jc w:val="center"/>
              <w:rPr>
                <w:rFonts w:hint="eastAsia" w:ascii="宋体" w:hAnsi="宋体" w:eastAsia="宋体" w:cs="宋体"/>
                <w:i w:val="0"/>
                <w:iCs w:val="0"/>
                <w:color w:val="000000"/>
                <w:sz w:val="24"/>
                <w:szCs w:val="24"/>
                <w:u w:val="none"/>
              </w:rPr>
            </w:pPr>
          </w:p>
        </w:tc>
      </w:tr>
      <w:tr w14:paraId="5B94EA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trPr>
        <w:tc>
          <w:tcPr>
            <w:tcW w:w="999" w:type="pct"/>
            <w:vMerge w:val="continue"/>
            <w:tcBorders>
              <w:left w:val="single" w:color="000000" w:sz="4" w:space="0"/>
              <w:right w:val="single" w:color="000000" w:sz="4" w:space="0"/>
            </w:tcBorders>
            <w:shd w:val="clear" w:color="auto" w:fill="auto"/>
            <w:vAlign w:val="center"/>
          </w:tcPr>
          <w:p w14:paraId="22573980">
            <w:pPr>
              <w:jc w:val="center"/>
              <w:rPr>
                <w:rFonts w:hint="eastAsia" w:ascii="宋体" w:hAnsi="宋体" w:eastAsia="宋体" w:cs="宋体"/>
                <w:i w:val="0"/>
                <w:iCs w:val="0"/>
                <w:color w:val="000000"/>
                <w:sz w:val="24"/>
                <w:szCs w:val="24"/>
                <w:u w:val="none"/>
              </w:rPr>
            </w:pPr>
          </w:p>
        </w:tc>
        <w:tc>
          <w:tcPr>
            <w:tcW w:w="19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410E4">
            <w:pPr>
              <w:keepNext w:val="0"/>
              <w:keepLines w:val="0"/>
              <w:widowControl/>
              <w:suppressLineNumbers w:val="0"/>
              <w:jc w:val="center"/>
              <w:textAlignment w:val="center"/>
              <w:rPr>
                <w:rFonts w:hint="eastAsia" w:ascii="宋体" w:hAnsi="宋体" w:eastAsia="宋体" w:cs="宋体"/>
                <w:sz w:val="24"/>
                <w:szCs w:val="24"/>
                <w:vertAlign w:val="baseline"/>
                <w:lang w:val="en-US" w:eastAsia="zh-CN"/>
              </w:rPr>
            </w:pPr>
            <w:r>
              <w:rPr>
                <w:rFonts w:hint="eastAsia" w:ascii="宋体" w:hAnsi="宋体" w:eastAsia="宋体" w:cs="宋体"/>
                <w:i w:val="0"/>
                <w:iCs w:val="0"/>
                <w:color w:val="000000"/>
                <w:kern w:val="0"/>
                <w:sz w:val="22"/>
                <w:szCs w:val="22"/>
                <w:u w:val="none"/>
                <w:lang w:val="en-US" w:eastAsia="zh-CN" w:bidi="ar"/>
              </w:rPr>
              <w:t>肿瘤学</w:t>
            </w:r>
          </w:p>
        </w:tc>
        <w:tc>
          <w:tcPr>
            <w:tcW w:w="999" w:type="pct"/>
            <w:vMerge w:val="continue"/>
            <w:tcBorders>
              <w:left w:val="single" w:color="000000" w:sz="4" w:space="0"/>
              <w:right w:val="single" w:color="000000" w:sz="4" w:space="0"/>
            </w:tcBorders>
            <w:shd w:val="clear" w:color="auto" w:fill="auto"/>
            <w:vAlign w:val="center"/>
          </w:tcPr>
          <w:p w14:paraId="4A91E4FF">
            <w:pPr>
              <w:jc w:val="center"/>
              <w:rPr>
                <w:rFonts w:hint="eastAsia" w:ascii="宋体" w:hAnsi="宋体" w:eastAsia="宋体" w:cs="宋体"/>
                <w:i w:val="0"/>
                <w:iCs w:val="0"/>
                <w:color w:val="000000"/>
                <w:sz w:val="24"/>
                <w:szCs w:val="24"/>
                <w:u w:val="none"/>
              </w:rPr>
            </w:pPr>
          </w:p>
        </w:tc>
        <w:tc>
          <w:tcPr>
            <w:tcW w:w="1014" w:type="pct"/>
            <w:vMerge w:val="continue"/>
            <w:tcBorders>
              <w:left w:val="single" w:color="000000" w:sz="4" w:space="0"/>
              <w:right w:val="single" w:color="000000" w:sz="4" w:space="0"/>
            </w:tcBorders>
            <w:shd w:val="clear" w:color="auto" w:fill="auto"/>
            <w:noWrap/>
            <w:vAlign w:val="center"/>
          </w:tcPr>
          <w:p w14:paraId="49FE1AAA">
            <w:pPr>
              <w:jc w:val="center"/>
              <w:rPr>
                <w:rFonts w:hint="eastAsia" w:ascii="宋体" w:hAnsi="宋体" w:eastAsia="宋体" w:cs="宋体"/>
                <w:i w:val="0"/>
                <w:iCs w:val="0"/>
                <w:color w:val="000000"/>
                <w:sz w:val="24"/>
                <w:szCs w:val="24"/>
                <w:u w:val="none"/>
              </w:rPr>
            </w:pPr>
          </w:p>
        </w:tc>
      </w:tr>
      <w:tr w14:paraId="1FB69C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trPr>
        <w:tc>
          <w:tcPr>
            <w:tcW w:w="999" w:type="pct"/>
            <w:vMerge w:val="continue"/>
            <w:tcBorders>
              <w:left w:val="single" w:color="000000" w:sz="4" w:space="0"/>
              <w:right w:val="single" w:color="000000" w:sz="4" w:space="0"/>
            </w:tcBorders>
            <w:shd w:val="clear" w:color="auto" w:fill="auto"/>
            <w:vAlign w:val="center"/>
          </w:tcPr>
          <w:p w14:paraId="47CD7831">
            <w:pPr>
              <w:jc w:val="center"/>
              <w:rPr>
                <w:rFonts w:hint="eastAsia" w:ascii="宋体" w:hAnsi="宋体" w:eastAsia="宋体" w:cs="宋体"/>
                <w:i w:val="0"/>
                <w:iCs w:val="0"/>
                <w:color w:val="000000"/>
                <w:sz w:val="24"/>
                <w:szCs w:val="24"/>
                <w:u w:val="none"/>
              </w:rPr>
            </w:pPr>
          </w:p>
        </w:tc>
        <w:tc>
          <w:tcPr>
            <w:tcW w:w="19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24EA8">
            <w:pPr>
              <w:keepNext w:val="0"/>
              <w:keepLines w:val="0"/>
              <w:widowControl/>
              <w:suppressLineNumbers w:val="0"/>
              <w:jc w:val="center"/>
              <w:textAlignment w:val="center"/>
              <w:rPr>
                <w:rFonts w:hint="eastAsia" w:ascii="宋体" w:hAnsi="宋体" w:eastAsia="宋体" w:cs="宋体"/>
                <w:sz w:val="24"/>
                <w:szCs w:val="24"/>
                <w:vertAlign w:val="baseline"/>
                <w:lang w:val="en-US" w:eastAsia="zh-CN"/>
              </w:rPr>
            </w:pPr>
            <w:r>
              <w:rPr>
                <w:rFonts w:hint="eastAsia" w:ascii="宋体" w:hAnsi="宋体" w:eastAsia="宋体" w:cs="宋体"/>
                <w:i w:val="0"/>
                <w:iCs w:val="0"/>
                <w:color w:val="000000"/>
                <w:kern w:val="0"/>
                <w:sz w:val="22"/>
                <w:szCs w:val="22"/>
                <w:u w:val="none"/>
                <w:lang w:val="en-US" w:eastAsia="zh-CN" w:bidi="ar"/>
              </w:rPr>
              <w:t>麻醉学</w:t>
            </w:r>
          </w:p>
        </w:tc>
        <w:tc>
          <w:tcPr>
            <w:tcW w:w="999" w:type="pct"/>
            <w:vMerge w:val="continue"/>
            <w:tcBorders>
              <w:left w:val="single" w:color="000000" w:sz="4" w:space="0"/>
              <w:right w:val="single" w:color="000000" w:sz="4" w:space="0"/>
            </w:tcBorders>
            <w:shd w:val="clear" w:color="auto" w:fill="auto"/>
            <w:vAlign w:val="center"/>
          </w:tcPr>
          <w:p w14:paraId="0474D1CF">
            <w:pPr>
              <w:jc w:val="center"/>
              <w:rPr>
                <w:rFonts w:hint="eastAsia" w:ascii="宋体" w:hAnsi="宋体" w:eastAsia="宋体" w:cs="宋体"/>
                <w:i w:val="0"/>
                <w:iCs w:val="0"/>
                <w:color w:val="000000"/>
                <w:sz w:val="24"/>
                <w:szCs w:val="24"/>
                <w:u w:val="none"/>
              </w:rPr>
            </w:pPr>
          </w:p>
        </w:tc>
        <w:tc>
          <w:tcPr>
            <w:tcW w:w="1014" w:type="pct"/>
            <w:vMerge w:val="continue"/>
            <w:tcBorders>
              <w:left w:val="single" w:color="000000" w:sz="4" w:space="0"/>
              <w:right w:val="single" w:color="000000" w:sz="4" w:space="0"/>
            </w:tcBorders>
            <w:shd w:val="clear" w:color="auto" w:fill="auto"/>
            <w:noWrap/>
            <w:vAlign w:val="center"/>
          </w:tcPr>
          <w:p w14:paraId="44F40F3D">
            <w:pPr>
              <w:jc w:val="center"/>
              <w:rPr>
                <w:rFonts w:hint="eastAsia" w:ascii="宋体" w:hAnsi="宋体" w:eastAsia="宋体" w:cs="宋体"/>
                <w:i w:val="0"/>
                <w:iCs w:val="0"/>
                <w:color w:val="000000"/>
                <w:sz w:val="24"/>
                <w:szCs w:val="24"/>
                <w:u w:val="none"/>
              </w:rPr>
            </w:pPr>
          </w:p>
        </w:tc>
      </w:tr>
      <w:tr w14:paraId="342CB2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trPr>
        <w:tc>
          <w:tcPr>
            <w:tcW w:w="999" w:type="pct"/>
            <w:vMerge w:val="continue"/>
            <w:tcBorders>
              <w:left w:val="single" w:color="000000" w:sz="4" w:space="0"/>
              <w:right w:val="single" w:color="000000" w:sz="4" w:space="0"/>
            </w:tcBorders>
            <w:shd w:val="clear" w:color="auto" w:fill="auto"/>
            <w:vAlign w:val="center"/>
          </w:tcPr>
          <w:p w14:paraId="44B2C680">
            <w:pPr>
              <w:jc w:val="center"/>
              <w:rPr>
                <w:rFonts w:hint="eastAsia" w:ascii="宋体" w:hAnsi="宋体" w:eastAsia="宋体" w:cs="宋体"/>
                <w:i w:val="0"/>
                <w:iCs w:val="0"/>
                <w:color w:val="000000"/>
                <w:sz w:val="24"/>
                <w:szCs w:val="24"/>
                <w:u w:val="none"/>
              </w:rPr>
            </w:pPr>
          </w:p>
        </w:tc>
        <w:tc>
          <w:tcPr>
            <w:tcW w:w="19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F2148">
            <w:pPr>
              <w:keepNext w:val="0"/>
              <w:keepLines w:val="0"/>
              <w:widowControl/>
              <w:suppressLineNumbers w:val="0"/>
              <w:jc w:val="center"/>
              <w:textAlignment w:val="center"/>
              <w:rPr>
                <w:rFonts w:hint="eastAsia" w:ascii="宋体" w:hAnsi="宋体" w:eastAsia="宋体" w:cs="宋体"/>
                <w:sz w:val="24"/>
                <w:szCs w:val="24"/>
                <w:vertAlign w:val="baseline"/>
                <w:lang w:val="en-US" w:eastAsia="zh-CN"/>
              </w:rPr>
            </w:pPr>
            <w:r>
              <w:rPr>
                <w:rFonts w:hint="eastAsia" w:ascii="宋体" w:hAnsi="宋体" w:eastAsia="宋体" w:cs="宋体"/>
                <w:i w:val="0"/>
                <w:iCs w:val="0"/>
                <w:color w:val="000000"/>
                <w:kern w:val="0"/>
                <w:sz w:val="22"/>
                <w:szCs w:val="22"/>
                <w:u w:val="none"/>
                <w:lang w:val="en-US" w:eastAsia="zh-CN" w:bidi="ar"/>
              </w:rPr>
              <w:t>急诊医学</w:t>
            </w:r>
          </w:p>
        </w:tc>
        <w:tc>
          <w:tcPr>
            <w:tcW w:w="999" w:type="pct"/>
            <w:vMerge w:val="continue"/>
            <w:tcBorders>
              <w:left w:val="single" w:color="000000" w:sz="4" w:space="0"/>
              <w:right w:val="single" w:color="000000" w:sz="4" w:space="0"/>
            </w:tcBorders>
            <w:shd w:val="clear" w:color="auto" w:fill="auto"/>
            <w:vAlign w:val="center"/>
          </w:tcPr>
          <w:p w14:paraId="3EAE0128">
            <w:pPr>
              <w:jc w:val="center"/>
              <w:rPr>
                <w:rFonts w:hint="eastAsia" w:ascii="宋体" w:hAnsi="宋体" w:eastAsia="宋体" w:cs="宋体"/>
                <w:i w:val="0"/>
                <w:iCs w:val="0"/>
                <w:color w:val="000000"/>
                <w:sz w:val="24"/>
                <w:szCs w:val="24"/>
                <w:u w:val="none"/>
              </w:rPr>
            </w:pPr>
          </w:p>
        </w:tc>
        <w:tc>
          <w:tcPr>
            <w:tcW w:w="1014" w:type="pct"/>
            <w:vMerge w:val="continue"/>
            <w:tcBorders>
              <w:left w:val="single" w:color="000000" w:sz="4" w:space="0"/>
              <w:right w:val="single" w:color="000000" w:sz="4" w:space="0"/>
            </w:tcBorders>
            <w:shd w:val="clear" w:color="auto" w:fill="auto"/>
            <w:noWrap/>
            <w:vAlign w:val="center"/>
          </w:tcPr>
          <w:p w14:paraId="783C6853">
            <w:pPr>
              <w:jc w:val="center"/>
              <w:rPr>
                <w:rFonts w:hint="eastAsia" w:ascii="宋体" w:hAnsi="宋体" w:eastAsia="宋体" w:cs="宋体"/>
                <w:i w:val="0"/>
                <w:iCs w:val="0"/>
                <w:color w:val="000000"/>
                <w:sz w:val="24"/>
                <w:szCs w:val="24"/>
                <w:u w:val="none"/>
              </w:rPr>
            </w:pPr>
          </w:p>
        </w:tc>
      </w:tr>
      <w:tr w14:paraId="2B8233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trPr>
        <w:tc>
          <w:tcPr>
            <w:tcW w:w="999" w:type="pct"/>
            <w:vMerge w:val="continue"/>
            <w:tcBorders>
              <w:left w:val="single" w:color="000000" w:sz="4" w:space="0"/>
              <w:right w:val="single" w:color="000000" w:sz="4" w:space="0"/>
            </w:tcBorders>
            <w:shd w:val="clear" w:color="auto" w:fill="auto"/>
            <w:vAlign w:val="center"/>
          </w:tcPr>
          <w:p w14:paraId="43E6729D">
            <w:pPr>
              <w:jc w:val="center"/>
              <w:rPr>
                <w:rFonts w:hint="eastAsia" w:ascii="宋体" w:hAnsi="宋体" w:eastAsia="宋体" w:cs="宋体"/>
                <w:i w:val="0"/>
                <w:iCs w:val="0"/>
                <w:color w:val="000000"/>
                <w:sz w:val="24"/>
                <w:szCs w:val="24"/>
                <w:u w:val="none"/>
              </w:rPr>
            </w:pPr>
          </w:p>
        </w:tc>
        <w:tc>
          <w:tcPr>
            <w:tcW w:w="19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9C887">
            <w:pPr>
              <w:keepNext w:val="0"/>
              <w:keepLines w:val="0"/>
              <w:widowControl/>
              <w:suppressLineNumbers w:val="0"/>
              <w:jc w:val="center"/>
              <w:textAlignment w:val="center"/>
              <w:rPr>
                <w:rFonts w:hint="eastAsia" w:ascii="宋体" w:hAnsi="宋体" w:eastAsia="宋体" w:cs="宋体"/>
                <w:sz w:val="24"/>
                <w:szCs w:val="24"/>
                <w:vertAlign w:val="baseline"/>
                <w:lang w:val="en-US" w:eastAsia="zh-CN"/>
              </w:rPr>
            </w:pPr>
            <w:r>
              <w:rPr>
                <w:rFonts w:hint="eastAsia" w:ascii="宋体" w:hAnsi="宋体" w:eastAsia="宋体" w:cs="宋体"/>
                <w:i w:val="0"/>
                <w:iCs w:val="0"/>
                <w:color w:val="000000"/>
                <w:kern w:val="0"/>
                <w:sz w:val="22"/>
                <w:szCs w:val="22"/>
                <w:u w:val="none"/>
                <w:lang w:val="en-US" w:eastAsia="zh-CN" w:bidi="ar"/>
              </w:rPr>
              <w:t>全科医学</w:t>
            </w:r>
          </w:p>
        </w:tc>
        <w:tc>
          <w:tcPr>
            <w:tcW w:w="999" w:type="pct"/>
            <w:vMerge w:val="continue"/>
            <w:tcBorders>
              <w:left w:val="single" w:color="000000" w:sz="4" w:space="0"/>
              <w:right w:val="single" w:color="000000" w:sz="4" w:space="0"/>
            </w:tcBorders>
            <w:shd w:val="clear" w:color="auto" w:fill="auto"/>
            <w:vAlign w:val="center"/>
          </w:tcPr>
          <w:p w14:paraId="3BFB70F8">
            <w:pPr>
              <w:jc w:val="center"/>
              <w:rPr>
                <w:rFonts w:hint="eastAsia" w:ascii="宋体" w:hAnsi="宋体" w:eastAsia="宋体" w:cs="宋体"/>
                <w:i w:val="0"/>
                <w:iCs w:val="0"/>
                <w:color w:val="000000"/>
                <w:sz w:val="24"/>
                <w:szCs w:val="24"/>
                <w:u w:val="none"/>
              </w:rPr>
            </w:pPr>
          </w:p>
        </w:tc>
        <w:tc>
          <w:tcPr>
            <w:tcW w:w="1014" w:type="pct"/>
            <w:vMerge w:val="continue"/>
            <w:tcBorders>
              <w:left w:val="single" w:color="000000" w:sz="4" w:space="0"/>
              <w:right w:val="single" w:color="000000" w:sz="4" w:space="0"/>
            </w:tcBorders>
            <w:shd w:val="clear" w:color="auto" w:fill="auto"/>
            <w:noWrap/>
            <w:vAlign w:val="center"/>
          </w:tcPr>
          <w:p w14:paraId="4CC4B141">
            <w:pPr>
              <w:jc w:val="center"/>
              <w:rPr>
                <w:rFonts w:hint="eastAsia" w:ascii="宋体" w:hAnsi="宋体" w:eastAsia="宋体" w:cs="宋体"/>
                <w:i w:val="0"/>
                <w:iCs w:val="0"/>
                <w:color w:val="000000"/>
                <w:sz w:val="24"/>
                <w:szCs w:val="24"/>
                <w:u w:val="none"/>
              </w:rPr>
            </w:pPr>
          </w:p>
        </w:tc>
      </w:tr>
      <w:tr w14:paraId="4F83AF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trPr>
        <w:tc>
          <w:tcPr>
            <w:tcW w:w="999" w:type="pct"/>
            <w:vMerge w:val="continue"/>
            <w:tcBorders>
              <w:left w:val="single" w:color="000000" w:sz="4" w:space="0"/>
              <w:bottom w:val="single" w:color="000000" w:sz="4" w:space="0"/>
              <w:right w:val="single" w:color="000000" w:sz="4" w:space="0"/>
            </w:tcBorders>
            <w:shd w:val="clear" w:color="auto" w:fill="auto"/>
            <w:vAlign w:val="center"/>
          </w:tcPr>
          <w:p w14:paraId="6D505FC1">
            <w:pPr>
              <w:jc w:val="center"/>
              <w:rPr>
                <w:rFonts w:hint="eastAsia" w:ascii="宋体" w:hAnsi="宋体" w:eastAsia="宋体" w:cs="宋体"/>
                <w:i w:val="0"/>
                <w:iCs w:val="0"/>
                <w:color w:val="000000"/>
                <w:sz w:val="24"/>
                <w:szCs w:val="24"/>
                <w:u w:val="none"/>
              </w:rPr>
            </w:pPr>
          </w:p>
        </w:tc>
        <w:tc>
          <w:tcPr>
            <w:tcW w:w="19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8BE93">
            <w:pPr>
              <w:keepNext w:val="0"/>
              <w:keepLines w:val="0"/>
              <w:widowControl/>
              <w:suppressLineNumbers w:val="0"/>
              <w:jc w:val="center"/>
              <w:textAlignment w:val="center"/>
              <w:rPr>
                <w:rFonts w:hint="eastAsia" w:ascii="宋体" w:hAnsi="宋体" w:eastAsia="宋体" w:cs="宋体"/>
                <w:sz w:val="24"/>
                <w:szCs w:val="24"/>
                <w:vertAlign w:val="baseline"/>
                <w:lang w:val="en-US" w:eastAsia="zh-CN"/>
              </w:rPr>
            </w:pPr>
            <w:r>
              <w:rPr>
                <w:rFonts w:hint="eastAsia" w:ascii="宋体" w:hAnsi="宋体" w:eastAsia="宋体" w:cs="宋体"/>
                <w:i w:val="0"/>
                <w:iCs w:val="0"/>
                <w:color w:val="000000"/>
                <w:kern w:val="0"/>
                <w:sz w:val="22"/>
                <w:szCs w:val="22"/>
                <w:u w:val="none"/>
                <w:lang w:val="en-US" w:eastAsia="zh-CN" w:bidi="ar"/>
              </w:rPr>
              <w:t>临床病理学</w:t>
            </w:r>
          </w:p>
        </w:tc>
        <w:tc>
          <w:tcPr>
            <w:tcW w:w="999" w:type="pct"/>
            <w:vMerge w:val="continue"/>
            <w:tcBorders>
              <w:left w:val="single" w:color="000000" w:sz="4" w:space="0"/>
              <w:bottom w:val="single" w:color="000000" w:sz="4" w:space="0"/>
              <w:right w:val="single" w:color="000000" w:sz="4" w:space="0"/>
            </w:tcBorders>
            <w:shd w:val="clear" w:color="auto" w:fill="auto"/>
            <w:vAlign w:val="center"/>
          </w:tcPr>
          <w:p w14:paraId="4FF61DB9">
            <w:pPr>
              <w:jc w:val="center"/>
              <w:rPr>
                <w:rFonts w:hint="eastAsia" w:ascii="宋体" w:hAnsi="宋体" w:eastAsia="宋体" w:cs="宋体"/>
                <w:i w:val="0"/>
                <w:iCs w:val="0"/>
                <w:color w:val="000000"/>
                <w:sz w:val="24"/>
                <w:szCs w:val="24"/>
                <w:u w:val="none"/>
              </w:rPr>
            </w:pPr>
          </w:p>
        </w:tc>
        <w:tc>
          <w:tcPr>
            <w:tcW w:w="1014" w:type="pct"/>
            <w:vMerge w:val="continue"/>
            <w:tcBorders>
              <w:left w:val="single" w:color="000000" w:sz="4" w:space="0"/>
              <w:bottom w:val="single" w:color="000000" w:sz="4" w:space="0"/>
              <w:right w:val="single" w:color="000000" w:sz="4" w:space="0"/>
            </w:tcBorders>
            <w:shd w:val="clear" w:color="auto" w:fill="auto"/>
            <w:noWrap/>
            <w:vAlign w:val="center"/>
          </w:tcPr>
          <w:p w14:paraId="4ACA11CC">
            <w:pPr>
              <w:jc w:val="center"/>
              <w:rPr>
                <w:rFonts w:hint="eastAsia" w:ascii="宋体" w:hAnsi="宋体" w:eastAsia="宋体" w:cs="宋体"/>
                <w:i w:val="0"/>
                <w:iCs w:val="0"/>
                <w:color w:val="000000"/>
                <w:sz w:val="24"/>
                <w:szCs w:val="24"/>
                <w:u w:val="none"/>
              </w:rPr>
            </w:pPr>
          </w:p>
        </w:tc>
      </w:tr>
    </w:tbl>
    <w:p w14:paraId="4EF98562">
      <w:pPr>
        <w:snapToGrid w:val="0"/>
        <w:spacing w:line="360" w:lineRule="auto"/>
        <w:contextualSpacing/>
        <w:jc w:val="left"/>
        <w:rPr>
          <w:rFonts w:hint="eastAsia" w:ascii="宋体" w:hAnsi="宋体" w:cs="宋体"/>
          <w:sz w:val="24"/>
          <w:szCs w:val="24"/>
          <w:lang w:eastAsia="zh-CN"/>
        </w:rPr>
      </w:pPr>
    </w:p>
    <w:p w14:paraId="2FA0019D">
      <w:pPr>
        <w:snapToGrid w:val="0"/>
        <w:spacing w:line="360" w:lineRule="auto"/>
        <w:contextualSpacing/>
        <w:jc w:val="left"/>
        <w:rPr>
          <w:rFonts w:hint="eastAsia" w:ascii="宋体" w:hAnsi="宋体" w:cs="宋体"/>
          <w:sz w:val="24"/>
          <w:szCs w:val="24"/>
          <w:lang w:eastAsia="zh-CN"/>
        </w:rPr>
      </w:pPr>
    </w:p>
    <w:p w14:paraId="5EF3548D">
      <w:pPr>
        <w:numPr>
          <w:ilvl w:val="0"/>
          <w:numId w:val="1"/>
        </w:numPr>
        <w:snapToGrid w:val="0"/>
        <w:spacing w:line="360" w:lineRule="auto"/>
        <w:contextualSpacing/>
        <w:rPr>
          <w:rFonts w:ascii="宋体" w:hAnsi="宋体" w:eastAsia="宋体" w:cs="宋体"/>
          <w:b/>
          <w:bCs/>
          <w:sz w:val="24"/>
        </w:rPr>
      </w:pPr>
      <w:r>
        <w:rPr>
          <w:rFonts w:hint="eastAsia" w:ascii="宋体" w:hAnsi="宋体" w:eastAsia="宋体" w:cs="宋体"/>
          <w:b/>
          <w:bCs/>
          <w:sz w:val="24"/>
        </w:rPr>
        <w:t>报考条件</w:t>
      </w:r>
    </w:p>
    <w:p w14:paraId="7C3E8571">
      <w:pPr>
        <w:snapToGrid w:val="0"/>
        <w:spacing w:line="360" w:lineRule="auto"/>
        <w:ind w:firstLine="600" w:firstLineChars="250"/>
        <w:contextualSpacing/>
        <w:rPr>
          <w:rFonts w:hint="eastAsia" w:ascii="宋体" w:hAnsi="宋体" w:eastAsia="宋体" w:cs="宋体"/>
          <w:sz w:val="24"/>
          <w:lang w:eastAsia="zh-CN"/>
        </w:rPr>
      </w:pPr>
      <w:r>
        <w:rPr>
          <w:rFonts w:hint="eastAsia" w:ascii="宋体" w:hAnsi="宋体" w:eastAsia="宋体" w:cs="宋体"/>
          <w:sz w:val="24"/>
        </w:rPr>
        <w:t>1、拥护中国共产党的领导，遵纪守法、品德优良</w:t>
      </w:r>
      <w:r>
        <w:rPr>
          <w:rFonts w:hint="eastAsia" w:ascii="宋体" w:hAnsi="宋体" w:cs="宋体"/>
          <w:sz w:val="24"/>
          <w:lang w:eastAsia="zh-CN"/>
        </w:rPr>
        <w:t>；</w:t>
      </w:r>
    </w:p>
    <w:p w14:paraId="6FA06FAF">
      <w:pPr>
        <w:snapToGrid w:val="0"/>
        <w:spacing w:line="360" w:lineRule="auto"/>
        <w:ind w:firstLine="600" w:firstLineChars="250"/>
        <w:contextualSpacing/>
        <w:rPr>
          <w:rFonts w:hint="eastAsia" w:ascii="宋体" w:hAnsi="宋体" w:eastAsia="宋体" w:cs="宋体"/>
          <w:sz w:val="24"/>
          <w:lang w:eastAsia="zh-CN"/>
        </w:rPr>
      </w:pPr>
      <w:r>
        <w:rPr>
          <w:rFonts w:hint="eastAsia" w:ascii="宋体" w:hAnsi="宋体" w:eastAsia="宋体" w:cs="宋体"/>
          <w:sz w:val="24"/>
        </w:rPr>
        <w:t>2、经本人所在工作单位同意，在申请学位的专业或相近专业做出成绩，为本单位业务骨干</w:t>
      </w:r>
      <w:r>
        <w:rPr>
          <w:rFonts w:hint="eastAsia" w:ascii="宋体" w:hAnsi="宋体" w:cs="宋体"/>
          <w:sz w:val="24"/>
          <w:lang w:eastAsia="zh-CN"/>
        </w:rPr>
        <w:t>，</w:t>
      </w:r>
      <w:r>
        <w:rPr>
          <w:rFonts w:hint="eastAsia" w:ascii="宋体" w:hAnsi="宋体" w:eastAsia="宋体" w:cs="宋体"/>
          <w:sz w:val="24"/>
        </w:rPr>
        <w:t>身体健康，能坚持完成学业</w:t>
      </w:r>
      <w:r>
        <w:rPr>
          <w:rFonts w:hint="eastAsia" w:ascii="宋体" w:hAnsi="宋体" w:cs="宋体"/>
          <w:sz w:val="24"/>
          <w:lang w:eastAsia="zh-CN"/>
        </w:rPr>
        <w:t>；</w:t>
      </w:r>
    </w:p>
    <w:p w14:paraId="336B21C4">
      <w:pPr>
        <w:snapToGrid w:val="0"/>
        <w:spacing w:line="360" w:lineRule="auto"/>
        <w:ind w:firstLine="600" w:firstLineChars="250"/>
        <w:contextualSpacing/>
        <w:rPr>
          <w:rFonts w:hint="eastAsia" w:ascii="宋体" w:hAnsi="宋体" w:cs="宋体"/>
          <w:sz w:val="24"/>
          <w:lang w:val="en-US" w:eastAsia="zh-CN"/>
        </w:rPr>
      </w:pPr>
      <w:r>
        <w:rPr>
          <w:rFonts w:hint="eastAsia" w:ascii="宋体" w:hAnsi="宋体" w:eastAsia="宋体" w:cs="宋体"/>
          <w:sz w:val="24"/>
        </w:rPr>
        <w:t>3、临床医学类本科毕业生并获得学士学位</w:t>
      </w:r>
      <w:r>
        <w:rPr>
          <w:rFonts w:hint="eastAsia" w:ascii="宋体" w:hAnsi="宋体" w:cs="宋体"/>
          <w:sz w:val="24"/>
          <w:lang w:val="en-US" w:eastAsia="zh-CN"/>
        </w:rPr>
        <w:t>者；</w:t>
      </w:r>
    </w:p>
    <w:p w14:paraId="1E42DAB6">
      <w:pPr>
        <w:snapToGrid w:val="0"/>
        <w:spacing w:line="360" w:lineRule="auto"/>
        <w:ind w:firstLine="600" w:firstLineChars="250"/>
        <w:contextualSpacing/>
        <w:rPr>
          <w:rFonts w:hint="eastAsia" w:ascii="宋体" w:hAnsi="宋体" w:cs="宋体"/>
          <w:sz w:val="24"/>
          <w:lang w:val="en-US" w:eastAsia="zh-CN"/>
        </w:rPr>
      </w:pPr>
      <w:r>
        <w:rPr>
          <w:rFonts w:hint="eastAsia" w:ascii="宋体" w:hAnsi="宋体" w:cs="宋体"/>
          <w:sz w:val="24"/>
          <w:lang w:val="en-US" w:eastAsia="zh-CN"/>
        </w:rPr>
        <w:t>4、正在接受住院医师规范化培训的住院医师或已获得《住院医师规范化培训合格证书》的临床医师。</w:t>
      </w:r>
    </w:p>
    <w:p w14:paraId="2FA053C0">
      <w:pPr>
        <w:snapToGrid w:val="0"/>
        <w:spacing w:line="360" w:lineRule="auto"/>
        <w:ind w:firstLine="602" w:firstLineChars="250"/>
        <w:contextualSpacing/>
        <w:rPr>
          <w:rFonts w:hint="eastAsia" w:ascii="宋体" w:hAnsi="宋体" w:cs="宋体"/>
          <w:b/>
          <w:bCs/>
          <w:sz w:val="24"/>
          <w:lang w:val="en-US" w:eastAsia="zh-CN"/>
        </w:rPr>
      </w:pPr>
      <w:r>
        <w:rPr>
          <w:rFonts w:hint="eastAsia" w:ascii="宋体" w:hAnsi="宋体" w:cs="宋体"/>
          <w:b/>
          <w:bCs/>
          <w:sz w:val="24"/>
          <w:lang w:val="en-US" w:eastAsia="zh-CN"/>
        </w:rPr>
        <w:t>申请人申请的专业学位类别应与住院医师规范化招收专业相对应。</w:t>
      </w:r>
    </w:p>
    <w:p w14:paraId="2E0B3B60">
      <w:pPr>
        <w:snapToGrid w:val="0"/>
        <w:spacing w:line="360" w:lineRule="auto"/>
        <w:ind w:firstLine="600" w:firstLineChars="250"/>
        <w:contextualSpacing/>
        <w:rPr>
          <w:rFonts w:hint="eastAsia" w:ascii="宋体" w:hAnsi="宋体" w:eastAsia="宋体" w:cs="宋体"/>
          <w:sz w:val="24"/>
        </w:rPr>
      </w:pPr>
    </w:p>
    <w:p w14:paraId="2B60A7D3">
      <w:pPr>
        <w:numPr>
          <w:ilvl w:val="0"/>
          <w:numId w:val="1"/>
        </w:numPr>
        <w:snapToGrid w:val="0"/>
        <w:spacing w:line="360" w:lineRule="auto"/>
        <w:contextualSpacing/>
        <w:rPr>
          <w:rFonts w:ascii="宋体" w:hAnsi="宋体" w:eastAsia="宋体" w:cs="宋体"/>
          <w:b/>
          <w:bCs/>
          <w:sz w:val="24"/>
        </w:rPr>
      </w:pPr>
      <w:r>
        <w:rPr>
          <w:rFonts w:hint="eastAsia" w:ascii="宋体" w:hAnsi="宋体" w:eastAsia="宋体" w:cs="宋体"/>
          <w:b/>
          <w:bCs/>
          <w:sz w:val="24"/>
        </w:rPr>
        <w:t>报名材料</w:t>
      </w:r>
    </w:p>
    <w:p w14:paraId="234E3632">
      <w:pPr>
        <w:numPr>
          <w:ilvl w:val="0"/>
          <w:numId w:val="2"/>
        </w:numPr>
        <w:snapToGrid w:val="0"/>
        <w:spacing w:line="360" w:lineRule="auto"/>
        <w:ind w:firstLine="600" w:firstLineChars="250"/>
        <w:contextualSpacing/>
        <w:rPr>
          <w:rFonts w:hint="eastAsia" w:ascii="宋体" w:hAnsi="宋体" w:eastAsia="宋体" w:cs="宋体"/>
          <w:sz w:val="24"/>
        </w:rPr>
      </w:pPr>
      <w:r>
        <w:rPr>
          <w:rFonts w:hint="eastAsia" w:ascii="宋体" w:hAnsi="宋体" w:eastAsia="宋体" w:cs="宋体"/>
          <w:sz w:val="24"/>
        </w:rPr>
        <w:t>本人身份证</w:t>
      </w:r>
      <w:r>
        <w:rPr>
          <w:rFonts w:hint="eastAsia" w:ascii="宋体" w:hAnsi="宋体" w:cs="宋体"/>
          <w:sz w:val="24"/>
          <w:lang w:val="en-US" w:eastAsia="zh-CN"/>
        </w:rPr>
        <w:t>原件及扫描件；</w:t>
      </w:r>
    </w:p>
    <w:p w14:paraId="682212CC">
      <w:pPr>
        <w:numPr>
          <w:ilvl w:val="0"/>
          <w:numId w:val="2"/>
        </w:numPr>
        <w:snapToGrid w:val="0"/>
        <w:spacing w:line="360" w:lineRule="auto"/>
        <w:ind w:firstLine="600" w:firstLineChars="250"/>
        <w:contextualSpacing/>
        <w:rPr>
          <w:rFonts w:hint="eastAsia" w:ascii="宋体" w:hAnsi="宋体" w:eastAsia="宋体" w:cs="宋体"/>
          <w:sz w:val="24"/>
        </w:rPr>
      </w:pPr>
      <w:r>
        <w:rPr>
          <w:rFonts w:hint="eastAsia" w:ascii="宋体" w:hAnsi="宋体" w:eastAsia="宋体" w:cs="宋体"/>
          <w:sz w:val="24"/>
        </w:rPr>
        <w:t>本科毕业证、学位证</w:t>
      </w:r>
      <w:r>
        <w:rPr>
          <w:rFonts w:hint="eastAsia" w:ascii="宋体" w:hAnsi="宋体" w:cs="宋体"/>
          <w:sz w:val="24"/>
          <w:lang w:val="en-US" w:eastAsia="zh-CN"/>
        </w:rPr>
        <w:t>原件及扫描件</w:t>
      </w:r>
      <w:r>
        <w:rPr>
          <w:rFonts w:hint="eastAsia" w:ascii="宋体" w:hAnsi="宋体" w:eastAsia="宋体" w:cs="宋体"/>
          <w:sz w:val="24"/>
        </w:rPr>
        <w:t>；</w:t>
      </w:r>
    </w:p>
    <w:p w14:paraId="6279A5F7">
      <w:pPr>
        <w:numPr>
          <w:ilvl w:val="0"/>
          <w:numId w:val="2"/>
        </w:numPr>
        <w:snapToGrid w:val="0"/>
        <w:spacing w:line="360" w:lineRule="auto"/>
        <w:ind w:firstLine="600" w:firstLineChars="250"/>
        <w:contextualSpacing/>
        <w:rPr>
          <w:rFonts w:hint="eastAsia" w:ascii="宋体" w:hAnsi="宋体" w:eastAsia="宋体" w:cs="宋体"/>
          <w:sz w:val="24"/>
        </w:rPr>
      </w:pPr>
      <w:r>
        <w:rPr>
          <w:rFonts w:hint="eastAsia" w:ascii="宋体" w:hAnsi="宋体" w:eastAsia="宋体" w:cs="宋体"/>
          <w:sz w:val="24"/>
        </w:rPr>
        <w:t>学信网《教育部学历证书电子注册备案表》、学位网《学位认证报告》</w:t>
      </w:r>
      <w:r>
        <w:rPr>
          <w:rFonts w:hint="eastAsia" w:ascii="宋体" w:hAnsi="宋体" w:cs="宋体"/>
          <w:sz w:val="24"/>
          <w:lang w:eastAsia="zh-CN"/>
        </w:rPr>
        <w:t>；</w:t>
      </w:r>
    </w:p>
    <w:p w14:paraId="62CC0A62">
      <w:pPr>
        <w:numPr>
          <w:ilvl w:val="0"/>
          <w:numId w:val="2"/>
        </w:numPr>
        <w:snapToGrid w:val="0"/>
        <w:spacing w:line="360" w:lineRule="auto"/>
        <w:ind w:firstLine="600" w:firstLineChars="250"/>
        <w:contextualSpacing/>
        <w:rPr>
          <w:rFonts w:hint="eastAsia" w:ascii="宋体" w:hAnsi="宋体" w:eastAsia="宋体" w:cs="宋体"/>
          <w:sz w:val="24"/>
        </w:rPr>
      </w:pPr>
      <w:r>
        <w:rPr>
          <w:rFonts w:hint="default" w:ascii="宋体" w:hAnsi="宋体" w:eastAsia="宋体" w:cs="宋体"/>
          <w:sz w:val="24"/>
          <w:lang w:val="en-US" w:eastAsia="zh-CN"/>
        </w:rPr>
        <w:t>《住院医师规范化培训证明》，或住院医师规范化培训合格证书</w:t>
      </w:r>
      <w:r>
        <w:rPr>
          <w:rFonts w:hint="eastAsia" w:ascii="宋体" w:hAnsi="宋体" w:eastAsia="宋体" w:cs="宋体"/>
          <w:sz w:val="24"/>
          <w:lang w:val="en-US" w:eastAsia="zh-CN"/>
        </w:rPr>
        <w:t>扫描件</w:t>
      </w:r>
      <w:r>
        <w:rPr>
          <w:rFonts w:hint="eastAsia" w:ascii="宋体" w:hAnsi="宋体" w:cs="宋体"/>
          <w:sz w:val="24"/>
          <w:lang w:val="en-US" w:eastAsia="zh-CN"/>
        </w:rPr>
        <w:t>。</w:t>
      </w:r>
    </w:p>
    <w:p w14:paraId="3399E9F2">
      <w:pPr>
        <w:numPr>
          <w:ilvl w:val="0"/>
          <w:numId w:val="0"/>
        </w:numPr>
        <w:snapToGrid w:val="0"/>
        <w:spacing w:line="360" w:lineRule="auto"/>
        <w:ind w:firstLine="480" w:firstLineChars="200"/>
        <w:contextualSpacing/>
        <w:rPr>
          <w:rFonts w:hint="eastAsia" w:ascii="宋体" w:hAnsi="宋体" w:cs="宋体"/>
          <w:sz w:val="24"/>
          <w:lang w:eastAsia="zh-CN"/>
        </w:rPr>
      </w:pPr>
      <w:r>
        <w:rPr>
          <w:rFonts w:hint="eastAsia" w:ascii="宋体" w:hAnsi="宋体" w:cs="宋体"/>
          <w:sz w:val="24"/>
          <w:lang w:eastAsia="zh-CN"/>
        </w:rPr>
        <w:t>申请人须承诺学历、学位证书和申请材料的真实性及准确性、一经学校认证部门查证为不属实，即取消报考资格，责任由申请人自负。</w:t>
      </w:r>
    </w:p>
    <w:p w14:paraId="5B169254">
      <w:pPr>
        <w:numPr>
          <w:ilvl w:val="0"/>
          <w:numId w:val="0"/>
        </w:numPr>
        <w:snapToGrid w:val="0"/>
        <w:spacing w:line="360" w:lineRule="auto"/>
        <w:ind w:firstLine="480" w:firstLineChars="200"/>
        <w:contextualSpacing/>
        <w:rPr>
          <w:rFonts w:hint="eastAsia" w:ascii="宋体" w:hAnsi="宋体" w:eastAsia="宋体" w:cs="宋体"/>
          <w:b w:val="0"/>
          <w:bCs w:val="0"/>
          <w:sz w:val="24"/>
          <w:lang w:val="en-US" w:eastAsia="zh-CN"/>
        </w:rPr>
      </w:pPr>
    </w:p>
    <w:p w14:paraId="795D7CC1">
      <w:pPr>
        <w:numPr>
          <w:ilvl w:val="0"/>
          <w:numId w:val="1"/>
        </w:numPr>
        <w:snapToGrid w:val="0"/>
        <w:spacing w:line="360" w:lineRule="auto"/>
        <w:contextualSpacing/>
        <w:rPr>
          <w:rFonts w:hint="default" w:ascii="宋体" w:hAnsi="宋体" w:eastAsia="宋体" w:cs="宋体"/>
          <w:b/>
          <w:bCs/>
          <w:sz w:val="24"/>
          <w:lang w:val="en-US" w:eastAsia="zh-CN"/>
        </w:rPr>
      </w:pPr>
      <w:r>
        <w:rPr>
          <w:rFonts w:hint="eastAsia" w:ascii="宋体" w:hAnsi="宋体" w:eastAsia="宋体" w:cs="宋体"/>
          <w:b/>
          <w:bCs/>
          <w:sz w:val="24"/>
          <w:lang w:val="en-US" w:eastAsia="zh-CN"/>
        </w:rPr>
        <w:t>培养方式和学制</w:t>
      </w:r>
    </w:p>
    <w:p w14:paraId="0F3E3F31">
      <w:pPr>
        <w:numPr>
          <w:ilvl w:val="0"/>
          <w:numId w:val="0"/>
        </w:numPr>
        <w:snapToGrid w:val="0"/>
        <w:spacing w:line="360" w:lineRule="auto"/>
        <w:ind w:firstLine="480" w:firstLineChars="200"/>
        <w:contextualSpacing/>
        <w:rPr>
          <w:rFonts w:hint="eastAsia" w:ascii="宋体" w:hAnsi="宋体" w:eastAsia="宋体" w:cs="宋体"/>
          <w:b w:val="0"/>
          <w:bCs w:val="0"/>
          <w:sz w:val="24"/>
          <w:lang w:val="en-US" w:eastAsia="zh-CN"/>
        </w:rPr>
      </w:pPr>
      <w:r>
        <w:rPr>
          <w:rFonts w:hint="eastAsia" w:ascii="宋体" w:hAnsi="宋体" w:eastAsia="宋体" w:cs="宋体"/>
          <w:b w:val="0"/>
          <w:bCs w:val="0"/>
          <w:sz w:val="24"/>
          <w:lang w:val="en-US" w:eastAsia="zh-CN"/>
        </w:rPr>
        <w:t>教学方式：采用线上学习的方式，按照在校研究生相同专业培养方案开设课程（具体以院校通知为准）；</w:t>
      </w:r>
    </w:p>
    <w:p w14:paraId="6D9C01CD">
      <w:pPr>
        <w:numPr>
          <w:ilvl w:val="0"/>
          <w:numId w:val="0"/>
        </w:numPr>
        <w:snapToGrid w:val="0"/>
        <w:spacing w:line="360" w:lineRule="auto"/>
        <w:ind w:firstLine="480" w:firstLineChars="200"/>
        <w:contextualSpacing/>
        <w:rPr>
          <w:rFonts w:hint="eastAsia" w:ascii="宋体" w:hAnsi="宋体" w:eastAsia="宋体" w:cs="宋体"/>
          <w:b w:val="0"/>
          <w:bCs w:val="0"/>
          <w:sz w:val="24"/>
          <w:lang w:val="en-US" w:eastAsia="zh-CN"/>
        </w:rPr>
      </w:pPr>
      <w:r>
        <w:rPr>
          <w:rFonts w:hint="eastAsia" w:ascii="宋体" w:hAnsi="宋体" w:eastAsia="宋体" w:cs="宋体"/>
          <w:b w:val="0"/>
          <w:bCs w:val="0"/>
          <w:sz w:val="24"/>
          <w:lang w:val="en-US" w:eastAsia="zh-CN"/>
        </w:rPr>
        <w:t>学制：2年。</w:t>
      </w:r>
    </w:p>
    <w:p w14:paraId="518A605F">
      <w:pPr>
        <w:numPr>
          <w:ilvl w:val="0"/>
          <w:numId w:val="0"/>
        </w:numPr>
        <w:snapToGrid w:val="0"/>
        <w:spacing w:line="360" w:lineRule="auto"/>
        <w:ind w:firstLine="480" w:firstLineChars="200"/>
        <w:contextualSpacing/>
        <w:rPr>
          <w:rFonts w:hint="eastAsia" w:ascii="宋体" w:hAnsi="宋体" w:eastAsia="宋体" w:cs="宋体"/>
          <w:b w:val="0"/>
          <w:bCs w:val="0"/>
          <w:sz w:val="24"/>
          <w:lang w:val="en-US" w:eastAsia="zh-CN"/>
        </w:rPr>
      </w:pPr>
    </w:p>
    <w:p w14:paraId="5B908F5D">
      <w:pPr>
        <w:widowControl/>
        <w:numPr>
          <w:ilvl w:val="0"/>
          <w:numId w:val="0"/>
        </w:numPr>
        <w:autoSpaceDN w:val="0"/>
        <w:spacing w:line="360" w:lineRule="auto"/>
        <w:ind w:leftChars="0"/>
        <w:rPr>
          <w:rFonts w:hint="eastAsia" w:ascii="宋体" w:hAnsi="宋体" w:eastAsia="宋体" w:cs="宋体"/>
          <w:b/>
          <w:bCs/>
          <w:color w:val="auto"/>
          <w:sz w:val="24"/>
          <w:szCs w:val="24"/>
          <w:lang w:val="en-US" w:eastAsia="zh-CN"/>
        </w:rPr>
      </w:pPr>
      <w:r>
        <w:rPr>
          <w:rFonts w:hint="eastAsia" w:ascii="宋体" w:hAnsi="宋体" w:cs="宋体"/>
          <w:b/>
          <w:bCs/>
          <w:color w:val="auto"/>
          <w:sz w:val="24"/>
          <w:lang w:val="en-US" w:eastAsia="zh-CN"/>
        </w:rPr>
        <w:t>八、</w:t>
      </w:r>
      <w:r>
        <w:rPr>
          <w:rFonts w:hint="eastAsia" w:ascii="宋体" w:hAnsi="宋体" w:eastAsia="宋体" w:cs="宋体"/>
          <w:b/>
          <w:bCs/>
          <w:color w:val="auto"/>
          <w:sz w:val="24"/>
          <w:szCs w:val="24"/>
          <w:lang w:val="en-US" w:eastAsia="zh-CN"/>
        </w:rPr>
        <w:t>学习年限及学位申请条件</w:t>
      </w:r>
    </w:p>
    <w:p w14:paraId="49F2859B">
      <w:pPr>
        <w:widowControl/>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学习年限一般为3年，最长学习年限为7年。培养过程一般分为两个阶段，第一阶段为课程学习阶段，第二阶段为学位论文阶段。</w:t>
      </w:r>
    </w:p>
    <w:p w14:paraId="4DADEC3F">
      <w:pPr>
        <w:widowControl/>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课程学习阶段：课程学习年限一般为2年，最长为5年，包括课程学习和国家学位水平考试。申请人自通过报名资格审核之日起4年内应完成课程学习且考试全部合格。没有按时完成学习和通过考试需延长1年者，应提交申请并按学校规定缴纳延长费用。  </w:t>
      </w:r>
    </w:p>
    <w:p w14:paraId="3B5FD090">
      <w:pPr>
        <w:widowControl/>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学位论文阶段：学位论文年限一般为1年，最长为2年（包括重新答辩）。申请人原则上应在全部考试合格后一年内完成论文答辩，答辩通过者授予学位。论文答辩未通过者，可在半年后至一年内重新答辩一次，仍未通过者，本次申请无效。</w:t>
      </w:r>
    </w:p>
    <w:p w14:paraId="35B6B9D2">
      <w:pPr>
        <w:numPr>
          <w:ilvl w:val="0"/>
          <w:numId w:val="0"/>
        </w:numPr>
        <w:snapToGrid w:val="0"/>
        <w:spacing w:line="360" w:lineRule="auto"/>
        <w:contextualSpacing/>
        <w:rPr>
          <w:rFonts w:hint="eastAsia" w:ascii="宋体" w:hAnsi="宋体" w:eastAsia="宋体" w:cs="宋体"/>
          <w:b w:val="0"/>
          <w:bCs w:val="0"/>
          <w:sz w:val="24"/>
          <w:lang w:val="en-US" w:eastAsia="zh-CN"/>
        </w:rPr>
      </w:pPr>
    </w:p>
    <w:p w14:paraId="0708296D">
      <w:pPr>
        <w:numPr>
          <w:ilvl w:val="0"/>
          <w:numId w:val="0"/>
        </w:numPr>
        <w:snapToGrid w:val="0"/>
        <w:spacing w:line="360" w:lineRule="auto"/>
        <w:contextualSpacing/>
        <w:rPr>
          <w:rFonts w:hint="default" w:ascii="宋体" w:hAnsi="宋体" w:eastAsia="宋体" w:cs="宋体"/>
          <w:b/>
          <w:bCs/>
          <w:sz w:val="24"/>
          <w:lang w:val="en-US" w:eastAsia="zh-CN"/>
        </w:rPr>
      </w:pPr>
      <w:r>
        <w:rPr>
          <w:rFonts w:hint="eastAsia" w:ascii="宋体" w:hAnsi="宋体" w:cs="宋体"/>
          <w:b/>
          <w:bCs/>
          <w:kern w:val="2"/>
          <w:sz w:val="24"/>
          <w:szCs w:val="24"/>
          <w:lang w:val="en-US" w:eastAsia="zh-CN" w:bidi="ar-SA"/>
        </w:rPr>
        <w:t>九</w:t>
      </w:r>
      <w:r>
        <w:rPr>
          <w:rFonts w:hint="eastAsia" w:ascii="宋体" w:hAnsi="宋体" w:eastAsia="宋体" w:cs="宋体"/>
          <w:b/>
          <w:bCs/>
          <w:kern w:val="2"/>
          <w:sz w:val="24"/>
          <w:szCs w:val="24"/>
          <w:lang w:val="en-US" w:eastAsia="zh-CN" w:bidi="ar-SA"/>
        </w:rPr>
        <w:t>、</w:t>
      </w:r>
      <w:r>
        <w:rPr>
          <w:rFonts w:hint="eastAsia" w:ascii="宋体" w:hAnsi="宋体" w:eastAsia="宋体" w:cs="宋体"/>
          <w:b/>
          <w:bCs/>
          <w:sz w:val="24"/>
          <w:lang w:val="en-US" w:eastAsia="zh-CN"/>
        </w:rPr>
        <w:t>获取证书</w:t>
      </w:r>
    </w:p>
    <w:p w14:paraId="26FC5916">
      <w:pPr>
        <w:numPr>
          <w:ilvl w:val="0"/>
          <w:numId w:val="3"/>
        </w:numPr>
        <w:snapToGrid w:val="0"/>
        <w:spacing w:line="360" w:lineRule="auto"/>
        <w:ind w:firstLine="480" w:firstLineChars="200"/>
        <w:contextualSpacing/>
        <w:rPr>
          <w:rFonts w:hint="eastAsia" w:ascii="宋体" w:hAnsi="宋体" w:eastAsia="宋体" w:cs="宋体"/>
          <w:b w:val="0"/>
          <w:bCs w:val="0"/>
          <w:sz w:val="24"/>
          <w:lang w:val="en-US" w:eastAsia="zh-CN"/>
        </w:rPr>
      </w:pPr>
      <w:r>
        <w:rPr>
          <w:rFonts w:hint="eastAsia" w:ascii="宋体" w:hAnsi="宋体" w:eastAsia="宋体" w:cs="宋体"/>
          <w:b w:val="0"/>
          <w:bCs w:val="0"/>
          <w:sz w:val="24"/>
          <w:lang w:val="en-US" w:eastAsia="zh-CN"/>
        </w:rPr>
        <w:t>学员在规定年限内修完培养方案规定的全部课程并考试合格，且达到规定学分，可颁发研究生课程结业证书。</w:t>
      </w:r>
    </w:p>
    <w:p w14:paraId="0777B0E3">
      <w:pPr>
        <w:numPr>
          <w:ilvl w:val="0"/>
          <w:numId w:val="3"/>
        </w:numPr>
        <w:snapToGrid w:val="0"/>
        <w:spacing w:line="360" w:lineRule="auto"/>
        <w:ind w:firstLine="480" w:firstLineChars="200"/>
        <w:contextualSpacing/>
        <w:rPr>
          <w:rFonts w:hint="eastAsia" w:ascii="宋体" w:hAnsi="宋体" w:eastAsia="宋体" w:cs="宋体"/>
          <w:sz w:val="24"/>
          <w:lang w:val="en-US" w:eastAsia="zh-CN"/>
        </w:rPr>
      </w:pPr>
      <w:r>
        <w:rPr>
          <w:rFonts w:hint="eastAsia" w:ascii="宋体" w:hAnsi="宋体" w:eastAsia="宋体" w:cs="宋体"/>
          <w:b w:val="0"/>
          <w:bCs w:val="0"/>
          <w:sz w:val="24"/>
          <w:lang w:val="en-US" w:eastAsia="zh-CN"/>
        </w:rPr>
        <w:t>完成所有课程学习并且考核合格者，满足同等学力申请硕士学位条件学员，国家统一考试合格后一年内完成论文答辩。答辩通过者，按照</w:t>
      </w:r>
      <w:r>
        <w:rPr>
          <w:rFonts w:hint="eastAsia" w:ascii="宋体" w:hAnsi="宋体" w:eastAsia="宋体" w:cs="宋体"/>
          <w:sz w:val="24"/>
        </w:rPr>
        <w:t>国家及学校有关文件规定，经所在学位分委员会同意，校学位评定委员会批准，授予硕士学位。</w:t>
      </w:r>
    </w:p>
    <w:p w14:paraId="26159209">
      <w:pPr>
        <w:numPr>
          <w:ilvl w:val="0"/>
          <w:numId w:val="0"/>
        </w:numPr>
        <w:snapToGrid w:val="0"/>
        <w:spacing w:line="360" w:lineRule="auto"/>
        <w:ind w:firstLine="482" w:firstLineChars="200"/>
        <w:contextualSpacing/>
        <w:rPr>
          <w:rFonts w:hint="default" w:ascii="宋体" w:hAnsi="宋体" w:eastAsia="宋体" w:cs="宋体"/>
          <w:b/>
          <w:bCs/>
          <w:sz w:val="24"/>
          <w:lang w:val="en-US" w:eastAsia="zh-CN"/>
        </w:rPr>
      </w:pPr>
      <w:r>
        <w:rPr>
          <w:rFonts w:hint="eastAsia" w:ascii="宋体" w:hAnsi="宋体" w:cs="宋体"/>
          <w:b/>
          <w:bCs/>
          <w:sz w:val="24"/>
          <w:lang w:val="en-US" w:eastAsia="zh-CN"/>
        </w:rPr>
        <w:t>注：申请硕士学位要求已发表或出版的与申请学位专业相关的科研成果学术小论文。</w:t>
      </w:r>
    </w:p>
    <w:p w14:paraId="6629948B">
      <w:pPr>
        <w:pStyle w:val="8"/>
        <w:numPr>
          <w:ilvl w:val="0"/>
          <w:numId w:val="0"/>
        </w:numPr>
        <w:snapToGrid w:val="0"/>
        <w:spacing w:line="360" w:lineRule="auto"/>
        <w:contextualSpacing/>
        <w:rPr>
          <w:rFonts w:hint="eastAsia" w:ascii="宋体" w:hAnsi="宋体" w:eastAsia="宋体" w:cs="宋体"/>
          <w:sz w:val="24"/>
          <w:lang w:val="en-US" w:eastAsia="zh-CN"/>
        </w:rPr>
      </w:pPr>
    </w:p>
    <w:p w14:paraId="2CDF5CA8">
      <w:pPr>
        <w:numPr>
          <w:ilvl w:val="0"/>
          <w:numId w:val="0"/>
        </w:numPr>
        <w:snapToGrid w:val="0"/>
        <w:spacing w:line="360" w:lineRule="auto"/>
        <w:contextualSpacing/>
        <w:rPr>
          <w:rFonts w:ascii="宋体" w:hAnsi="宋体" w:eastAsia="宋体" w:cs="宋体"/>
          <w:b/>
          <w:bCs/>
          <w:sz w:val="24"/>
        </w:rPr>
      </w:pPr>
      <w:r>
        <w:rPr>
          <w:rFonts w:hint="eastAsia" w:ascii="宋体" w:hAnsi="宋体" w:cs="宋体"/>
          <w:b/>
          <w:bCs/>
          <w:kern w:val="2"/>
          <w:sz w:val="24"/>
          <w:szCs w:val="24"/>
          <w:lang w:val="en-US" w:eastAsia="zh-CN" w:bidi="ar-SA"/>
        </w:rPr>
        <w:t>十</w:t>
      </w:r>
      <w:r>
        <w:rPr>
          <w:rFonts w:hint="eastAsia" w:ascii="宋体" w:hAnsi="宋体" w:eastAsia="宋体" w:cs="宋体"/>
          <w:b/>
          <w:bCs/>
          <w:kern w:val="2"/>
          <w:sz w:val="24"/>
          <w:szCs w:val="24"/>
          <w:lang w:val="en-US" w:eastAsia="zh-CN" w:bidi="ar-SA"/>
        </w:rPr>
        <w:t>、</w:t>
      </w:r>
      <w:r>
        <w:rPr>
          <w:rFonts w:hint="eastAsia" w:ascii="宋体" w:hAnsi="宋体" w:cs="宋体"/>
          <w:b/>
          <w:bCs/>
          <w:sz w:val="24"/>
          <w:lang w:val="en-US" w:eastAsia="zh-CN"/>
        </w:rPr>
        <w:t>收费标准</w:t>
      </w:r>
    </w:p>
    <w:p w14:paraId="5C88C768">
      <w:pPr>
        <w:pStyle w:val="8"/>
        <w:numPr>
          <w:ilvl w:val="0"/>
          <w:numId w:val="0"/>
        </w:numPr>
        <w:snapToGrid w:val="0"/>
        <w:spacing w:line="360" w:lineRule="auto"/>
        <w:ind w:firstLine="480" w:firstLineChars="200"/>
        <w:contextualSpacing/>
        <w:rPr>
          <w:rFonts w:hint="eastAsia" w:ascii="宋体" w:hAnsi="宋体" w:eastAsia="宋体" w:cs="宋体"/>
          <w:sz w:val="24"/>
        </w:rPr>
      </w:pPr>
      <w:r>
        <w:rPr>
          <w:rFonts w:hint="eastAsia" w:ascii="宋体" w:hAnsi="宋体" w:cs="宋体"/>
          <w:sz w:val="24"/>
          <w:lang w:val="en-US" w:eastAsia="zh-CN"/>
        </w:rPr>
        <w:t>1、</w:t>
      </w:r>
      <w:r>
        <w:rPr>
          <w:rFonts w:hint="eastAsia" w:ascii="宋体" w:hAnsi="宋体" w:eastAsia="宋体" w:cs="宋体"/>
          <w:sz w:val="24"/>
        </w:rPr>
        <w:t>学校收费缴纳标准：学费36,000元/人，分两个阶段缴纳。</w:t>
      </w:r>
    </w:p>
    <w:p w14:paraId="7AC23029">
      <w:pPr>
        <w:pStyle w:val="8"/>
        <w:numPr>
          <w:ilvl w:val="0"/>
          <w:numId w:val="0"/>
        </w:numPr>
        <w:snapToGrid w:val="0"/>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第一阶段26,000元/人，（资格确认和课程水平认定阶段），学员报名后通过资格审核缴纳学费13,000元/人，第二年交13,000元/人；</w:t>
      </w:r>
    </w:p>
    <w:p w14:paraId="2EF19D93">
      <w:pPr>
        <w:pStyle w:val="8"/>
        <w:numPr>
          <w:ilvl w:val="0"/>
          <w:numId w:val="0"/>
        </w:numPr>
        <w:snapToGrid w:val="0"/>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第二阶段10,000元/人（撰写学位论文与答辩阶段），学员需通过学位外国语水平和学科综合水平全国统一考试后缴纳第二阶段学费。</w:t>
      </w:r>
    </w:p>
    <w:p w14:paraId="188FB73F">
      <w:pPr>
        <w:pStyle w:val="8"/>
        <w:numPr>
          <w:ilvl w:val="0"/>
          <w:numId w:val="0"/>
        </w:numPr>
        <w:snapToGrid w:val="0"/>
        <w:spacing w:line="360" w:lineRule="auto"/>
        <w:ind w:firstLine="482" w:firstLineChars="200"/>
        <w:contextualSpacing/>
        <w:rPr>
          <w:rFonts w:hint="eastAsia" w:ascii="宋体" w:hAnsi="宋体" w:eastAsia="宋体" w:cs="宋体"/>
          <w:b/>
          <w:bCs/>
          <w:sz w:val="24"/>
          <w:lang w:eastAsia="zh-CN"/>
        </w:rPr>
      </w:pPr>
      <w:r>
        <w:rPr>
          <w:rFonts w:hint="eastAsia" w:ascii="宋体" w:hAnsi="宋体" w:eastAsia="宋体" w:cs="宋体"/>
          <w:b/>
          <w:bCs/>
          <w:sz w:val="24"/>
        </w:rPr>
        <w:t>费用缴纳后，因个人原因不能完成学业，已交费用不退</w:t>
      </w:r>
      <w:r>
        <w:rPr>
          <w:rFonts w:hint="eastAsia" w:ascii="宋体" w:hAnsi="宋体" w:cs="宋体"/>
          <w:b/>
          <w:bCs/>
          <w:sz w:val="24"/>
          <w:lang w:eastAsia="zh-CN"/>
        </w:rPr>
        <w:t>。</w:t>
      </w:r>
    </w:p>
    <w:p w14:paraId="7BD8C679">
      <w:pPr>
        <w:pStyle w:val="8"/>
        <w:numPr>
          <w:ilvl w:val="0"/>
          <w:numId w:val="0"/>
        </w:numPr>
        <w:snapToGrid w:val="0"/>
        <w:spacing w:line="360" w:lineRule="auto"/>
        <w:contextualSpacing/>
        <w:rPr>
          <w:rFonts w:ascii="宋体" w:hAnsi="宋体" w:eastAsia="宋体" w:cs="宋体"/>
          <w:sz w:val="24"/>
        </w:rPr>
      </w:pPr>
    </w:p>
    <w:p w14:paraId="52B0C7FF"/>
    <w:p w14:paraId="7109DF50"/>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AC3E5E">
    <w:pPr>
      <w:pStyle w:val="3"/>
    </w:pPr>
    <w:r>
      <w:rPr>
        <w:sz w:val="18"/>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5274310"/>
          <wp:effectExtent l="0" t="0" r="2540" b="2540"/>
          <wp:wrapNone/>
          <wp:docPr id="9" name="WordPictureWatermark49213" descr="三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dPictureWatermark49213" descr="三峡"/>
                  <pic:cNvPicPr>
                    <a:picLocks noChangeAspect="1"/>
                  </pic:cNvPicPr>
                </pic:nvPicPr>
                <pic:blipFill>
                  <a:blip r:embed="rId1">
                    <a:lum bright="70000" contrast="-70000"/>
                  </a:blip>
                  <a:stretch>
                    <a:fillRect/>
                  </a:stretch>
                </pic:blipFill>
                <pic:spPr>
                  <a:xfrm>
                    <a:off x="0" y="0"/>
                    <a:ext cx="5274310" cy="527431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E7EBF8"/>
    <w:multiLevelType w:val="singleLevel"/>
    <w:tmpl w:val="87E7EBF8"/>
    <w:lvl w:ilvl="0" w:tentative="0">
      <w:start w:val="1"/>
      <w:numFmt w:val="decimal"/>
      <w:suff w:val="nothing"/>
      <w:lvlText w:val="%1、"/>
      <w:lvlJc w:val="left"/>
    </w:lvl>
  </w:abstractNum>
  <w:abstractNum w:abstractNumId="1">
    <w:nsid w:val="44723287"/>
    <w:multiLevelType w:val="singleLevel"/>
    <w:tmpl w:val="44723287"/>
    <w:lvl w:ilvl="0" w:tentative="0">
      <w:start w:val="1"/>
      <w:numFmt w:val="decimal"/>
      <w:suff w:val="nothing"/>
      <w:lvlText w:val="%1、"/>
      <w:lvlJc w:val="left"/>
    </w:lvl>
  </w:abstractNum>
  <w:abstractNum w:abstractNumId="2">
    <w:nsid w:val="5FE90C7B"/>
    <w:multiLevelType w:val="singleLevel"/>
    <w:tmpl w:val="5FE90C7B"/>
    <w:lvl w:ilvl="0" w:tentative="0">
      <w:start w:val="1"/>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JkYmYyOGQwNjU2YTFjYjBlYWQzZDdlZjc2Nzk1ZWYifQ=="/>
  </w:docVars>
  <w:rsids>
    <w:rsidRoot w:val="5761406D"/>
    <w:rsid w:val="015145CF"/>
    <w:rsid w:val="07A1333C"/>
    <w:rsid w:val="07AC659B"/>
    <w:rsid w:val="0D316953"/>
    <w:rsid w:val="156404B5"/>
    <w:rsid w:val="1CE5782A"/>
    <w:rsid w:val="1EE036F9"/>
    <w:rsid w:val="21F20BF7"/>
    <w:rsid w:val="27206206"/>
    <w:rsid w:val="28733FBF"/>
    <w:rsid w:val="2D7E7FA9"/>
    <w:rsid w:val="32987847"/>
    <w:rsid w:val="344A041F"/>
    <w:rsid w:val="38451629"/>
    <w:rsid w:val="3C3118F6"/>
    <w:rsid w:val="40615329"/>
    <w:rsid w:val="435272F0"/>
    <w:rsid w:val="48DD4B3A"/>
    <w:rsid w:val="493203A6"/>
    <w:rsid w:val="49A972DA"/>
    <w:rsid w:val="4B9A7474"/>
    <w:rsid w:val="4BE97936"/>
    <w:rsid w:val="4D00170D"/>
    <w:rsid w:val="51493AE0"/>
    <w:rsid w:val="515D431F"/>
    <w:rsid w:val="5761406D"/>
    <w:rsid w:val="584B2834"/>
    <w:rsid w:val="5BA74C10"/>
    <w:rsid w:val="60C41DAF"/>
    <w:rsid w:val="64257612"/>
    <w:rsid w:val="65191253"/>
    <w:rsid w:val="65BE576E"/>
    <w:rsid w:val="67DD7044"/>
    <w:rsid w:val="749C3ABE"/>
    <w:rsid w:val="76EF03D6"/>
    <w:rsid w:val="788C3650"/>
    <w:rsid w:val="78B65169"/>
    <w:rsid w:val="7DAE44BA"/>
    <w:rsid w:val="7E3859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8">
    <w:name w:val="List Paragraph"/>
    <w:basedOn w:val="1"/>
    <w:unhideWhenUsed/>
    <w:qFormat/>
    <w:uiPriority w:val="99"/>
    <w:pPr>
      <w:ind w:firstLine="420" w:firstLineChars="200"/>
    </w:pPr>
  </w:style>
  <w:style w:type="character" w:customStyle="1" w:styleId="9">
    <w:name w:val="font11"/>
    <w:basedOn w:val="7"/>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2515</Words>
  <Characters>2605</Characters>
  <Lines>0</Lines>
  <Paragraphs>0</Paragraphs>
  <TotalTime>1</TotalTime>
  <ScaleCrop>false</ScaleCrop>
  <LinksUpToDate>false</LinksUpToDate>
  <CharactersWithSpaces>2614</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2023-04-06T05:34:00Z</dcterms:created>
  <dc:creator>DYJY</dc:creator>
  <cp:lastModifiedBy>Administrator</cp:lastModifiedBy>
  <dcterms:modified xsi:type="dcterms:W3CDTF">2026-01-16T06:03:49Z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7EBFEFA3ABED4D5E85E86157B708B864_13</vt:lpwstr>
  </property>
  <property fmtid="{D5CDD505-2E9C-101B-9397-08002B2CF9AE}" pid="4" name="KSOTemplateDocerSaveRecord">
    <vt:lpwstr>eyJoZGlkIjoiMjJkYmYyOGQwNjU2YTFjYjBlYWQzZDdlZjc2Nzk1ZWYifQ==</vt:lpwstr>
  </property>
</Properties>
</file>