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B121E">
      <w:pPr>
        <w:jc w:val="center"/>
        <w:rPr>
          <w:rFonts w:eastAsia="宋体"/>
        </w:rPr>
      </w:pPr>
      <w:r>
        <w:rPr>
          <w:rFonts w:hint="eastAsia" w:eastAsia="宋体"/>
        </w:rPr>
        <w:drawing>
          <wp:inline distT="0" distB="0" distL="114300" distR="114300">
            <wp:extent cx="4048125" cy="1431290"/>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4044827" cy="1430722"/>
                    </a:xfrm>
                    <a:prstGeom prst="rect">
                      <a:avLst/>
                    </a:prstGeom>
                  </pic:spPr>
                </pic:pic>
              </a:graphicData>
            </a:graphic>
          </wp:inline>
        </w:drawing>
      </w:r>
    </w:p>
    <w:p w14:paraId="6A6AF829">
      <w:pPr>
        <w:rPr>
          <w:rFonts w:eastAsia="宋体"/>
        </w:rPr>
      </w:pPr>
    </w:p>
    <w:p w14:paraId="3951AC3E">
      <w:pPr>
        <w:ind w:firstLine="361" w:firstLineChars="100"/>
        <w:rPr>
          <w:rFonts w:eastAsia="宋体"/>
          <w:b/>
          <w:bCs/>
          <w:sz w:val="36"/>
          <w:szCs w:val="36"/>
        </w:rPr>
      </w:pPr>
      <w:r>
        <w:rPr>
          <w:rFonts w:hint="eastAsia" w:eastAsia="宋体"/>
          <w:b/>
          <w:bCs/>
          <w:sz w:val="36"/>
          <w:szCs w:val="36"/>
        </w:rPr>
        <w:t>湖北师范大学同等学力申请硕士学位高等教育学</w:t>
      </w:r>
    </w:p>
    <w:p w14:paraId="4916BC90">
      <w:pPr>
        <w:jc w:val="center"/>
        <w:rPr>
          <w:rFonts w:eastAsia="宋体"/>
          <w:b/>
          <w:bCs/>
          <w:sz w:val="36"/>
          <w:szCs w:val="36"/>
        </w:rPr>
      </w:pPr>
      <w:r>
        <w:rPr>
          <w:rFonts w:hint="eastAsia" w:eastAsia="宋体"/>
          <w:b/>
          <w:bCs/>
          <w:sz w:val="36"/>
          <w:szCs w:val="36"/>
        </w:rPr>
        <w:t>专业招生简章</w:t>
      </w:r>
    </w:p>
    <w:p w14:paraId="70037254">
      <w:pPr>
        <w:rPr>
          <w:rFonts w:eastAsia="宋体"/>
          <w:b/>
          <w:bCs/>
        </w:rPr>
      </w:pPr>
    </w:p>
    <w:p w14:paraId="3C3C6F28">
      <w:pPr>
        <w:numPr>
          <w:ilvl w:val="0"/>
          <w:numId w:val="1"/>
        </w:numPr>
        <w:rPr>
          <w:rFonts w:eastAsia="宋体"/>
          <w:b/>
          <w:bCs/>
          <w:sz w:val="24"/>
        </w:rPr>
      </w:pPr>
      <w:r>
        <w:rPr>
          <w:rFonts w:hint="eastAsia" w:eastAsia="宋体"/>
          <w:b/>
          <w:bCs/>
          <w:sz w:val="24"/>
        </w:rPr>
        <w:t>学校简介：</w:t>
      </w:r>
    </w:p>
    <w:p w14:paraId="5882FDC4">
      <w:pPr>
        <w:spacing w:line="360" w:lineRule="auto"/>
        <w:ind w:firstLine="480" w:firstLineChars="200"/>
        <w:rPr>
          <w:rFonts w:eastAsia="宋体"/>
          <w:sz w:val="24"/>
        </w:rPr>
      </w:pPr>
      <w:r>
        <w:rPr>
          <w:rFonts w:hint="eastAsia" w:eastAsia="宋体"/>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324C49AE">
      <w:pPr>
        <w:spacing w:line="360" w:lineRule="auto"/>
        <w:ind w:firstLine="480" w:firstLineChars="200"/>
        <w:rPr>
          <w:rFonts w:eastAsia="宋体"/>
          <w:sz w:val="24"/>
        </w:rPr>
      </w:pPr>
      <w:r>
        <w:rPr>
          <w:rFonts w:hint="eastAsia" w:eastAsia="宋体"/>
          <w:sz w:val="24"/>
        </w:rPr>
        <w:t xml:space="preserve"> 高等教育学是一门以高等教育的运行形态和发展基本规律为研究对象的具有综合性、理论性和应用性的教育科学。是在教育学专业的基础上设立的，是培养从事高等教育领域的教学、科研和管理工作的高层次专门人才的新学科专业。</w:t>
      </w:r>
    </w:p>
    <w:p w14:paraId="5F085B2F">
      <w:pPr>
        <w:rPr>
          <w:rFonts w:eastAsia="宋体"/>
          <w:b/>
          <w:bCs/>
          <w:sz w:val="24"/>
        </w:rPr>
      </w:pPr>
    </w:p>
    <w:p w14:paraId="1348282C">
      <w:pPr>
        <w:numPr>
          <w:ilvl w:val="0"/>
          <w:numId w:val="1"/>
        </w:numPr>
        <w:rPr>
          <w:rFonts w:eastAsia="宋体"/>
          <w:b/>
          <w:bCs/>
          <w:sz w:val="24"/>
        </w:rPr>
      </w:pPr>
      <w:r>
        <w:rPr>
          <w:rFonts w:hint="eastAsia" w:eastAsia="宋体"/>
          <w:b/>
          <w:bCs/>
          <w:sz w:val="24"/>
        </w:rPr>
        <w:t>培养目标：</w:t>
      </w:r>
    </w:p>
    <w:p w14:paraId="53283DED">
      <w:pPr>
        <w:pStyle w:val="5"/>
        <w:shd w:val="clear" w:color="auto" w:fill="FFFFFF"/>
        <w:spacing w:before="0" w:beforeAutospacing="0" w:after="0" w:afterAutospacing="0" w:line="405" w:lineRule="atLeast"/>
        <w:ind w:firstLine="420"/>
        <w:rPr>
          <w:rFonts w:hint="eastAsia" w:asciiTheme="minorHAnsi" w:hAnsiTheme="minorHAnsi" w:cstheme="minorBidi"/>
          <w:kern w:val="2"/>
        </w:rPr>
      </w:pPr>
      <w:r>
        <w:rPr>
          <w:rFonts w:asciiTheme="minorHAnsi" w:hAnsiTheme="minorHAnsi" w:cstheme="minorBidi"/>
          <w:kern w:val="2"/>
        </w:rPr>
        <w:t>本专业</w:t>
      </w:r>
      <w:r>
        <w:rPr>
          <w:rFonts w:hint="eastAsia" w:asciiTheme="minorHAnsi" w:hAnsiTheme="minorHAnsi" w:cstheme="minorBidi"/>
          <w:kern w:val="2"/>
        </w:rPr>
        <w:t>主要通过学习和掌握</w:t>
      </w:r>
      <w:r>
        <w:rPr>
          <w:rFonts w:asciiTheme="minorHAnsi" w:hAnsiTheme="minorHAnsi" w:cstheme="minorBidi"/>
          <w:kern w:val="2"/>
        </w:rPr>
        <w:t>高等教育学理论基础，注重培养硕士研究生的分析与解决问题的能力，强调对现代教育研究的方法论和具体研究方法的掌握与灵活运用。</w:t>
      </w:r>
      <w:r>
        <w:rPr>
          <w:rFonts w:hint="eastAsia" w:asciiTheme="minorHAnsi" w:hAnsiTheme="minorHAnsi" w:cstheme="minorBidi"/>
          <w:kern w:val="2"/>
        </w:rPr>
        <w:t>培养</w:t>
      </w:r>
      <w:r>
        <w:rPr>
          <w:rFonts w:asciiTheme="minorHAnsi" w:hAnsiTheme="minorHAnsi" w:cstheme="minorBidi"/>
          <w:kern w:val="2"/>
        </w:rPr>
        <w:t>具有独立从事高等教育学及相关专业的教学、科学和管理的能力</w:t>
      </w:r>
      <w:r>
        <w:rPr>
          <w:rFonts w:hint="eastAsia" w:asciiTheme="minorHAnsi" w:hAnsiTheme="minorHAnsi" w:cstheme="minorBidi"/>
          <w:kern w:val="2"/>
        </w:rPr>
        <w:t>，</w:t>
      </w:r>
      <w:r>
        <w:rPr>
          <w:rFonts w:asciiTheme="minorHAnsi" w:hAnsiTheme="minorHAnsi" w:cstheme="minorBidi"/>
          <w:kern w:val="2"/>
        </w:rPr>
        <w:t>适应我国高等教育事业发展需要的，具有较高人文素养、科学素质、创新精神与实践能力的高等教育领域教学、科研和管理工作的创新拔尖人才和高素质专门人才。</w:t>
      </w:r>
    </w:p>
    <w:p w14:paraId="00C8A554">
      <w:pPr>
        <w:pStyle w:val="5"/>
        <w:shd w:val="clear" w:color="auto" w:fill="FFFFFF"/>
        <w:spacing w:before="0" w:beforeAutospacing="0" w:after="0" w:afterAutospacing="0" w:line="405" w:lineRule="atLeast"/>
        <w:ind w:firstLine="420"/>
        <w:rPr>
          <w:rFonts w:hint="eastAsia" w:asciiTheme="minorHAnsi" w:hAnsiTheme="minorHAnsi" w:cstheme="minorBidi"/>
          <w:kern w:val="2"/>
        </w:rPr>
      </w:pPr>
    </w:p>
    <w:p w14:paraId="3A3225AF">
      <w:pPr>
        <w:pStyle w:val="5"/>
        <w:shd w:val="clear" w:color="auto" w:fill="FFFFFF"/>
        <w:spacing w:before="0" w:beforeAutospacing="0" w:after="0" w:afterAutospacing="0" w:line="405" w:lineRule="atLeast"/>
        <w:ind w:firstLine="420"/>
        <w:rPr>
          <w:rFonts w:asciiTheme="minorHAnsi" w:hAnsiTheme="minorHAnsi" w:cstheme="minorBidi"/>
          <w:kern w:val="2"/>
        </w:rPr>
      </w:pPr>
    </w:p>
    <w:p w14:paraId="29D71C9E">
      <w:pPr>
        <w:numPr>
          <w:ilvl w:val="0"/>
          <w:numId w:val="1"/>
        </w:numPr>
        <w:rPr>
          <w:rFonts w:eastAsia="宋体"/>
          <w:b/>
          <w:bCs/>
          <w:sz w:val="24"/>
        </w:rPr>
      </w:pPr>
      <w:r>
        <w:rPr>
          <w:rFonts w:hint="eastAsia" w:eastAsia="宋体"/>
          <w:b/>
          <w:bCs/>
          <w:sz w:val="24"/>
        </w:rPr>
        <w:t>培养优势：</w:t>
      </w:r>
    </w:p>
    <w:p w14:paraId="5FDBD569">
      <w:pPr>
        <w:spacing w:line="360" w:lineRule="auto"/>
        <w:ind w:firstLine="480" w:firstLineChars="200"/>
        <w:rPr>
          <w:rFonts w:ascii="宋体" w:hAnsi="宋体" w:eastAsia="宋体" w:cs="Times New Roman"/>
          <w:sz w:val="24"/>
        </w:rPr>
      </w:pPr>
      <w:r>
        <w:rPr>
          <w:rFonts w:hint="eastAsia" w:ascii="宋体" w:hAnsi="宋体"/>
          <w:sz w:val="24"/>
        </w:rPr>
        <w:t>1、</w:t>
      </w:r>
      <w:r>
        <w:rPr>
          <w:rFonts w:hint="eastAsia" w:ascii="宋体" w:hAnsi="宋体" w:eastAsia="宋体" w:cs="Times New Roman"/>
          <w:sz w:val="24"/>
        </w:rPr>
        <w:t>【免试入学，在职学习】学员满足入学条件可免试入学，在职学习提升能力，工作学习两不误；</w:t>
      </w:r>
    </w:p>
    <w:p w14:paraId="49881E02">
      <w:pPr>
        <w:spacing w:line="360" w:lineRule="auto"/>
        <w:ind w:firstLine="480" w:firstLineChars="200"/>
        <w:rPr>
          <w:rFonts w:ascii="宋体" w:hAnsi="宋体" w:eastAsia="宋体" w:cs="Times New Roman"/>
          <w:sz w:val="24"/>
        </w:rPr>
      </w:pPr>
      <w:r>
        <w:rPr>
          <w:rFonts w:hint="eastAsia" w:ascii="宋体" w:hAnsi="宋体"/>
          <w:sz w:val="24"/>
        </w:rPr>
        <w:t>2、</w:t>
      </w:r>
      <w:r>
        <w:rPr>
          <w:rFonts w:hint="eastAsia" w:ascii="宋体" w:hAnsi="宋体" w:eastAsia="宋体" w:cs="Times New Roman"/>
          <w:sz w:val="24"/>
        </w:rPr>
        <w:t>【师资雄厚】学科专业选用有丰富教学经验的师资授课，浓缩课程精华，提高申硕率；</w:t>
      </w:r>
    </w:p>
    <w:p w14:paraId="2A693614">
      <w:pPr>
        <w:spacing w:line="360" w:lineRule="auto"/>
        <w:ind w:firstLine="480" w:firstLineChars="200"/>
        <w:rPr>
          <w:rFonts w:ascii="宋体" w:hAnsi="宋体" w:eastAsia="宋体" w:cs="Times New Roman"/>
          <w:sz w:val="24"/>
        </w:rPr>
      </w:pPr>
      <w:r>
        <w:rPr>
          <w:rFonts w:hint="eastAsia" w:ascii="宋体" w:hAnsi="宋体"/>
          <w:sz w:val="24"/>
        </w:rPr>
        <w:t>3、</w:t>
      </w:r>
      <w:r>
        <w:rPr>
          <w:rFonts w:hint="eastAsia" w:ascii="宋体" w:hAnsi="宋体" w:eastAsia="宋体" w:cs="Times New Roman"/>
          <w:sz w:val="24"/>
        </w:rPr>
        <w:t>【申硕科目少】学员满足申硕条件参加全国统一同等学力申请硕士学位考试，外语+</w:t>
      </w:r>
      <w:r>
        <w:rPr>
          <w:rFonts w:hint="eastAsia" w:ascii="宋体" w:hAnsi="宋体"/>
          <w:sz w:val="24"/>
        </w:rPr>
        <w:t>专业综合，百分制六十分及格</w:t>
      </w:r>
      <w:r>
        <w:rPr>
          <w:rFonts w:hint="eastAsia" w:ascii="宋体" w:hAnsi="宋体" w:eastAsia="宋体" w:cs="Times New Roman"/>
          <w:sz w:val="24"/>
        </w:rPr>
        <w:t>难度较低；</w:t>
      </w:r>
    </w:p>
    <w:p w14:paraId="7EAAA5EF">
      <w:pPr>
        <w:spacing w:line="360" w:lineRule="auto"/>
        <w:ind w:firstLine="480" w:firstLineChars="200"/>
        <w:rPr>
          <w:rFonts w:ascii="宋体" w:hAnsi="宋体" w:eastAsia="宋体" w:cs="Times New Roman"/>
          <w:sz w:val="24"/>
        </w:rPr>
      </w:pPr>
      <w:r>
        <w:rPr>
          <w:rFonts w:hint="eastAsia" w:ascii="宋体" w:hAnsi="宋体"/>
          <w:sz w:val="24"/>
        </w:rPr>
        <w:t>4、</w:t>
      </w:r>
      <w:r>
        <w:rPr>
          <w:rFonts w:hint="eastAsia" w:ascii="宋体" w:hAnsi="宋体" w:eastAsia="宋体" w:cs="Times New Roman"/>
          <w:sz w:val="24"/>
        </w:rPr>
        <w:t>【</w:t>
      </w:r>
      <w:r>
        <w:rPr>
          <w:rFonts w:ascii="宋体" w:hAnsi="宋体" w:eastAsia="宋体" w:cs="Times New Roman"/>
          <w:sz w:val="24"/>
        </w:rPr>
        <w:t>学习方式</w:t>
      </w:r>
      <w:r>
        <w:rPr>
          <w:rFonts w:hint="eastAsia" w:ascii="宋体" w:hAnsi="宋体" w:eastAsia="宋体" w:cs="Times New Roman"/>
          <w:sz w:val="24"/>
        </w:rPr>
        <w:t>灵活】本专业</w:t>
      </w:r>
      <w:r>
        <w:rPr>
          <w:rFonts w:ascii="宋体" w:hAnsi="宋体" w:eastAsia="宋体" w:cs="Times New Roman"/>
          <w:sz w:val="24"/>
        </w:rPr>
        <w:t>设</w:t>
      </w:r>
      <w:r>
        <w:rPr>
          <w:rFonts w:hint="eastAsia" w:eastAsia="宋体"/>
          <w:sz w:val="24"/>
        </w:rPr>
        <w:t>线上（录播或直播）与线下讲座相结合</w:t>
      </w:r>
      <w:r>
        <w:rPr>
          <w:rFonts w:ascii="宋体" w:hAnsi="宋体" w:eastAsia="宋体" w:cs="Times New Roman"/>
          <w:sz w:val="24"/>
        </w:rPr>
        <w:t>，学员不受时间、地域限制随时可学习，方便灵活</w:t>
      </w:r>
      <w:r>
        <w:rPr>
          <w:rFonts w:hint="eastAsia" w:ascii="宋体" w:hAnsi="宋体" w:eastAsia="宋体" w:cs="Times New Roman"/>
          <w:sz w:val="24"/>
        </w:rPr>
        <w:t>；</w:t>
      </w:r>
    </w:p>
    <w:p w14:paraId="0A5EFFC0">
      <w:pPr>
        <w:spacing w:line="360" w:lineRule="auto"/>
        <w:ind w:firstLine="480" w:firstLineChars="200"/>
        <w:rPr>
          <w:rFonts w:ascii="宋体" w:hAnsi="宋体" w:eastAsia="宋体" w:cs="Times New Roman"/>
          <w:sz w:val="24"/>
        </w:rPr>
      </w:pPr>
      <w:r>
        <w:rPr>
          <w:rFonts w:hint="eastAsia" w:ascii="宋体" w:hAnsi="宋体"/>
          <w:sz w:val="24"/>
        </w:rPr>
        <w:t>5、</w:t>
      </w:r>
      <w:r>
        <w:rPr>
          <w:rFonts w:ascii="宋体" w:hAnsi="宋体" w:eastAsia="宋体" w:cs="Times New Roman"/>
          <w:sz w:val="24"/>
        </w:rPr>
        <w:t>【可获名校证书】拟申请硕士学位的同等学力人员具备条件后，经学校学位评定委员会批准，授予</w:t>
      </w:r>
      <w:r>
        <w:rPr>
          <w:rFonts w:ascii="宋体" w:hAnsi="宋体"/>
          <w:sz w:val="24"/>
        </w:rPr>
        <w:t>湖北师范大学</w:t>
      </w:r>
      <w:r>
        <w:rPr>
          <w:rFonts w:ascii="宋体" w:hAnsi="宋体" w:eastAsia="宋体" w:cs="Times New Roman"/>
          <w:sz w:val="24"/>
        </w:rPr>
        <w:t>硕士学位证书</w:t>
      </w:r>
      <w:r>
        <w:rPr>
          <w:rFonts w:hint="eastAsia" w:ascii="宋体" w:hAnsi="宋体" w:eastAsia="宋体" w:cs="Times New Roman"/>
          <w:sz w:val="24"/>
        </w:rPr>
        <w:t>；</w:t>
      </w:r>
    </w:p>
    <w:p w14:paraId="608DDAE2">
      <w:pPr>
        <w:spacing w:line="360" w:lineRule="auto"/>
        <w:ind w:firstLine="480" w:firstLineChars="200"/>
        <w:rPr>
          <w:rFonts w:ascii="宋体" w:hAnsi="宋体" w:eastAsia="宋体" w:cs="Times New Roman"/>
          <w:sz w:val="24"/>
        </w:rPr>
      </w:pPr>
      <w:r>
        <w:rPr>
          <w:rFonts w:hint="eastAsia" w:ascii="宋体" w:hAnsi="宋体"/>
          <w:sz w:val="24"/>
        </w:rPr>
        <w:t>6、</w:t>
      </w:r>
      <w:r>
        <w:rPr>
          <w:rFonts w:hint="eastAsia" w:ascii="宋体" w:hAnsi="宋体" w:eastAsia="宋体" w:cs="Times New Roman"/>
          <w:sz w:val="24"/>
        </w:rPr>
        <w:t>【学知识结人脉】学习期间不定期举行课外活动，学知识结高端校友人脉。</w:t>
      </w:r>
    </w:p>
    <w:p w14:paraId="7E0012CF">
      <w:pPr>
        <w:spacing w:line="360" w:lineRule="auto"/>
        <w:rPr>
          <w:rFonts w:eastAsia="宋体"/>
          <w:sz w:val="24"/>
        </w:rPr>
      </w:pPr>
    </w:p>
    <w:p w14:paraId="0BD4156F">
      <w:pPr>
        <w:numPr>
          <w:ilvl w:val="0"/>
          <w:numId w:val="1"/>
        </w:numPr>
        <w:rPr>
          <w:rFonts w:eastAsia="宋体"/>
          <w:b/>
          <w:bCs/>
          <w:sz w:val="24"/>
        </w:rPr>
      </w:pPr>
      <w:r>
        <w:rPr>
          <w:rFonts w:hint="eastAsia" w:eastAsia="宋体"/>
          <w:b/>
          <w:bCs/>
          <w:sz w:val="24"/>
        </w:rPr>
        <w:t>课程设置：</w:t>
      </w:r>
    </w:p>
    <w:p w14:paraId="1E15C723">
      <w:pPr>
        <w:rPr>
          <w:rFonts w:eastAsia="宋体"/>
          <w:b/>
          <w:bCs/>
          <w:sz w:val="24"/>
        </w:rPr>
      </w:pPr>
    </w:p>
    <w:tbl>
      <w:tblPr>
        <w:tblStyle w:val="7"/>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1"/>
        <w:gridCol w:w="2177"/>
        <w:gridCol w:w="3529"/>
      </w:tblGrid>
      <w:tr w14:paraId="3374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17" w:type="dxa"/>
            <w:gridSpan w:val="3"/>
            <w:vAlign w:val="center"/>
          </w:tcPr>
          <w:p w14:paraId="10858F9A">
            <w:pPr>
              <w:pStyle w:val="5"/>
              <w:snapToGrid w:val="0"/>
              <w:spacing w:line="360" w:lineRule="auto"/>
              <w:contextualSpacing/>
              <w:jc w:val="center"/>
              <w:rPr>
                <w:rFonts w:asciiTheme="minorEastAsia" w:hAnsiTheme="minorEastAsia" w:eastAsiaTheme="minorEastAsia"/>
              </w:rPr>
            </w:pPr>
            <w:r>
              <w:rPr>
                <w:rFonts w:hint="eastAsia" w:asciiTheme="minorEastAsia" w:hAnsiTheme="minorEastAsia" w:eastAsiaTheme="minorEastAsia"/>
                <w:b/>
                <w:bCs/>
              </w:rPr>
              <w:t>高等教育学专业课程</w:t>
            </w:r>
          </w:p>
        </w:tc>
      </w:tr>
      <w:tr w14:paraId="4D31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11" w:type="dxa"/>
            <w:vAlign w:val="center"/>
          </w:tcPr>
          <w:p w14:paraId="2AF8287D">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课程与教学论</w:t>
            </w:r>
          </w:p>
        </w:tc>
        <w:tc>
          <w:tcPr>
            <w:tcW w:w="2177" w:type="dxa"/>
            <w:vAlign w:val="center"/>
          </w:tcPr>
          <w:p w14:paraId="451BDF19">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外国语Ⅰ</w:t>
            </w:r>
          </w:p>
        </w:tc>
        <w:tc>
          <w:tcPr>
            <w:tcW w:w="3529" w:type="dxa"/>
            <w:vAlign w:val="center"/>
          </w:tcPr>
          <w:p w14:paraId="18F709DA">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中国特色社会主义理论与实践研究</w:t>
            </w:r>
          </w:p>
        </w:tc>
      </w:tr>
      <w:tr w14:paraId="4DB8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11" w:type="dxa"/>
            <w:vAlign w:val="center"/>
          </w:tcPr>
          <w:p w14:paraId="6F2B6971">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发展与教育心理学</w:t>
            </w:r>
          </w:p>
        </w:tc>
        <w:tc>
          <w:tcPr>
            <w:tcW w:w="2177" w:type="dxa"/>
            <w:vAlign w:val="center"/>
          </w:tcPr>
          <w:p w14:paraId="4118B5C8">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教育科研方法</w:t>
            </w:r>
          </w:p>
        </w:tc>
        <w:tc>
          <w:tcPr>
            <w:tcW w:w="3529" w:type="dxa"/>
            <w:vAlign w:val="center"/>
          </w:tcPr>
          <w:p w14:paraId="3E45635C">
            <w:pPr>
              <w:pStyle w:val="5"/>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马克思主义与社会科学方法论</w:t>
            </w:r>
          </w:p>
        </w:tc>
      </w:tr>
      <w:tr w14:paraId="3FED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11" w:type="dxa"/>
            <w:vAlign w:val="center"/>
          </w:tcPr>
          <w:p w14:paraId="73D32D97">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教师教育专题研究</w:t>
            </w:r>
          </w:p>
        </w:tc>
        <w:tc>
          <w:tcPr>
            <w:tcW w:w="2177" w:type="dxa"/>
            <w:vAlign w:val="center"/>
          </w:tcPr>
          <w:p w14:paraId="09ABF764">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教育学原理</w:t>
            </w:r>
          </w:p>
        </w:tc>
        <w:tc>
          <w:tcPr>
            <w:tcW w:w="3529" w:type="dxa"/>
            <w:vAlign w:val="center"/>
          </w:tcPr>
          <w:p w14:paraId="4B8AFEB9">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论文学术规范与写作指导</w:t>
            </w:r>
          </w:p>
        </w:tc>
      </w:tr>
      <w:tr w14:paraId="4FB3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11" w:type="dxa"/>
            <w:vAlign w:val="center"/>
          </w:tcPr>
          <w:p w14:paraId="2E3C8C32">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高等教育热点问题研究</w:t>
            </w:r>
          </w:p>
        </w:tc>
        <w:tc>
          <w:tcPr>
            <w:tcW w:w="2177" w:type="dxa"/>
            <w:vAlign w:val="center"/>
          </w:tcPr>
          <w:p w14:paraId="0E883901">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高等教育学</w:t>
            </w:r>
          </w:p>
        </w:tc>
        <w:tc>
          <w:tcPr>
            <w:tcW w:w="3529" w:type="dxa"/>
            <w:vAlign w:val="center"/>
          </w:tcPr>
          <w:p w14:paraId="19A23C50">
            <w:pPr>
              <w:pStyle w:val="5"/>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高等教育政策与法规</w:t>
            </w:r>
          </w:p>
        </w:tc>
      </w:tr>
      <w:tr w14:paraId="13F3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11" w:type="dxa"/>
            <w:vAlign w:val="center"/>
          </w:tcPr>
          <w:p w14:paraId="6126FF09">
            <w:pPr>
              <w:pStyle w:val="5"/>
              <w:snapToGrid w:val="0"/>
              <w:spacing w:line="360" w:lineRule="auto"/>
              <w:contextualSpacing/>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现代大学制度研究</w:t>
            </w:r>
          </w:p>
        </w:tc>
        <w:tc>
          <w:tcPr>
            <w:tcW w:w="2177" w:type="dxa"/>
            <w:vAlign w:val="center"/>
          </w:tcPr>
          <w:p w14:paraId="076B7A64">
            <w:pPr>
              <w:pStyle w:val="5"/>
              <w:snapToGrid w:val="0"/>
              <w:spacing w:line="360" w:lineRule="auto"/>
              <w:contextualSpacing/>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大学德育</w:t>
            </w:r>
          </w:p>
        </w:tc>
        <w:tc>
          <w:tcPr>
            <w:tcW w:w="3529" w:type="dxa"/>
            <w:vAlign w:val="center"/>
          </w:tcPr>
          <w:p w14:paraId="37289114">
            <w:pPr>
              <w:pStyle w:val="5"/>
              <w:snapToGrid w:val="0"/>
              <w:spacing w:line="360" w:lineRule="auto"/>
              <w:contextualSpacing/>
              <w:jc w:val="center"/>
              <w:rPr>
                <w:rFonts w:hint="default" w:ascii="宋体" w:hAnsi="宋体" w:eastAsia="宋体" w:cs="宋体"/>
                <w:i w:val="0"/>
                <w:iCs w:val="0"/>
                <w:caps w:val="0"/>
                <w:color w:val="000000" w:themeColor="text1"/>
                <w:spacing w:val="0"/>
                <w:sz w:val="21"/>
                <w:szCs w:val="21"/>
                <w:shd w:val="clear" w:fill="FFFFFF"/>
                <w:lang w:val="en-US" w:eastAsia="zh-CN"/>
              </w:rPr>
            </w:pPr>
            <w:r>
              <w:rPr>
                <w:rFonts w:hint="eastAsia" w:cs="宋体"/>
                <w:i w:val="0"/>
                <w:iCs w:val="0"/>
                <w:caps w:val="0"/>
                <w:color w:val="000000" w:themeColor="text1"/>
                <w:spacing w:val="0"/>
                <w:sz w:val="21"/>
                <w:szCs w:val="21"/>
                <w:shd w:val="clear" w:fill="FFFFFF"/>
                <w:lang w:val="en-US" w:eastAsia="zh-CN"/>
              </w:rPr>
              <w:t>自然辩证法</w:t>
            </w:r>
          </w:p>
        </w:tc>
      </w:tr>
    </w:tbl>
    <w:p w14:paraId="3CFD0B52">
      <w:pPr>
        <w:pStyle w:val="5"/>
        <w:snapToGrid w:val="0"/>
        <w:spacing w:line="360" w:lineRule="auto"/>
        <w:ind w:firstLine="2310" w:firstLineChars="1100"/>
        <w:contextualSpacing/>
        <w:rPr>
          <w:b/>
          <w:bCs/>
        </w:rPr>
      </w:pPr>
      <w:r>
        <w:rPr>
          <w:rFonts w:hint="eastAsia" w:asciiTheme="minorEastAsia" w:hAnsiTheme="minorEastAsia" w:eastAsiaTheme="minorEastAsia"/>
          <w:sz w:val="21"/>
          <w:szCs w:val="21"/>
        </w:rPr>
        <w:t>注：部分课程参照实际教学</w:t>
      </w:r>
    </w:p>
    <w:p w14:paraId="6EBBC5C0">
      <w:pPr>
        <w:numPr>
          <w:ilvl w:val="0"/>
          <w:numId w:val="1"/>
        </w:numPr>
        <w:rPr>
          <w:rFonts w:eastAsia="宋体"/>
          <w:b/>
          <w:bCs/>
          <w:sz w:val="24"/>
        </w:rPr>
      </w:pPr>
      <w:r>
        <w:rPr>
          <w:rFonts w:hint="eastAsia" w:eastAsia="宋体"/>
          <w:b/>
          <w:bCs/>
          <w:sz w:val="24"/>
        </w:rPr>
        <w:t>报考条件：</w:t>
      </w:r>
    </w:p>
    <w:p w14:paraId="2ACC0613">
      <w:pPr>
        <w:spacing w:line="360" w:lineRule="auto"/>
        <w:ind w:firstLine="480" w:firstLineChars="200"/>
        <w:rPr>
          <w:rFonts w:eastAsia="宋体"/>
          <w:sz w:val="24"/>
        </w:rPr>
      </w:pPr>
      <w:r>
        <w:rPr>
          <w:rFonts w:hint="eastAsia" w:eastAsia="宋体"/>
          <w:sz w:val="24"/>
        </w:rPr>
        <w:t xml:space="preserve">1、拥护中华人民共和国宪法、遵守法律、法规，品行端正的在职人员。   </w:t>
      </w:r>
    </w:p>
    <w:p w14:paraId="696011F8">
      <w:pPr>
        <w:spacing w:line="360" w:lineRule="auto"/>
        <w:ind w:firstLine="480" w:firstLineChars="200"/>
        <w:rPr>
          <w:rFonts w:eastAsia="宋体"/>
          <w:sz w:val="24"/>
        </w:rPr>
      </w:pPr>
      <w:r>
        <w:rPr>
          <w:rFonts w:hint="eastAsia" w:eastAsia="宋体"/>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7F25333A">
      <w:pPr>
        <w:spacing w:line="360" w:lineRule="auto"/>
        <w:ind w:firstLine="480" w:firstLineChars="200"/>
        <w:rPr>
          <w:rFonts w:hint="eastAsia" w:eastAsia="宋体"/>
          <w:sz w:val="24"/>
        </w:rPr>
      </w:pPr>
      <w:r>
        <w:rPr>
          <w:rFonts w:hint="eastAsia" w:eastAsia="宋体"/>
          <w:sz w:val="24"/>
        </w:rPr>
        <w:t>3、具有专科学历或本科学历无学士学位者，具有两年以上工作经验，经申 请也可报读，但不能申请硕士学位。</w:t>
      </w:r>
    </w:p>
    <w:p w14:paraId="7E27285E">
      <w:pPr>
        <w:spacing w:line="360" w:lineRule="auto"/>
        <w:ind w:firstLine="480" w:firstLineChars="200"/>
        <w:rPr>
          <w:rFonts w:eastAsia="宋体"/>
          <w:sz w:val="24"/>
        </w:rPr>
      </w:pPr>
      <w:r>
        <w:rPr>
          <w:rFonts w:hint="eastAsia" w:eastAsia="宋体"/>
          <w:sz w:val="24"/>
        </w:rPr>
        <w:t xml:space="preserve"> </w:t>
      </w:r>
    </w:p>
    <w:p w14:paraId="41A5EE4D">
      <w:pPr>
        <w:numPr>
          <w:ilvl w:val="0"/>
          <w:numId w:val="1"/>
        </w:numPr>
        <w:rPr>
          <w:rFonts w:eastAsia="宋体"/>
          <w:b/>
          <w:bCs/>
          <w:sz w:val="24"/>
        </w:rPr>
      </w:pPr>
      <w:r>
        <w:rPr>
          <w:rFonts w:hint="eastAsia" w:eastAsia="宋体"/>
          <w:b/>
          <w:bCs/>
          <w:sz w:val="24"/>
        </w:rPr>
        <w:t>培养方式和学制：</w:t>
      </w:r>
    </w:p>
    <w:p w14:paraId="7D8A38D5">
      <w:pPr>
        <w:spacing w:line="360" w:lineRule="auto"/>
        <w:ind w:firstLine="480" w:firstLineChars="200"/>
        <w:rPr>
          <w:rFonts w:eastAsia="宋体"/>
          <w:sz w:val="24"/>
        </w:rPr>
      </w:pPr>
      <w:r>
        <w:rPr>
          <w:rFonts w:hint="eastAsia" w:eastAsia="宋体"/>
          <w:sz w:val="24"/>
        </w:rPr>
        <w:t>授课方式：线上（录播或直播）</w:t>
      </w:r>
    </w:p>
    <w:p w14:paraId="42913C93">
      <w:pPr>
        <w:spacing w:line="360" w:lineRule="auto"/>
        <w:ind w:firstLine="480" w:firstLineChars="200"/>
        <w:rPr>
          <w:rFonts w:eastAsia="宋体"/>
          <w:sz w:val="24"/>
        </w:rPr>
      </w:pPr>
      <w:r>
        <w:rPr>
          <w:rFonts w:hint="eastAsia" w:eastAsia="宋体"/>
          <w:sz w:val="24"/>
        </w:rPr>
        <w:t>学制：1.5-2年</w:t>
      </w:r>
    </w:p>
    <w:p w14:paraId="2CDE3DD9">
      <w:pPr>
        <w:rPr>
          <w:rFonts w:eastAsia="宋体"/>
          <w:b/>
          <w:bCs/>
          <w:sz w:val="24"/>
        </w:rPr>
      </w:pPr>
    </w:p>
    <w:p w14:paraId="20638F4A">
      <w:pPr>
        <w:numPr>
          <w:ilvl w:val="0"/>
          <w:numId w:val="1"/>
        </w:numPr>
        <w:rPr>
          <w:rFonts w:eastAsia="宋体"/>
          <w:b/>
          <w:bCs/>
          <w:sz w:val="24"/>
        </w:rPr>
      </w:pPr>
      <w:r>
        <w:rPr>
          <w:rFonts w:hint="eastAsia" w:eastAsia="宋体"/>
          <w:b/>
          <w:bCs/>
          <w:sz w:val="24"/>
        </w:rPr>
        <w:t>报名材料：</w:t>
      </w:r>
    </w:p>
    <w:p w14:paraId="1E10B53F">
      <w:pPr>
        <w:spacing w:line="360" w:lineRule="auto"/>
        <w:ind w:firstLine="480" w:firstLineChars="200"/>
        <w:rPr>
          <w:rFonts w:eastAsia="宋体"/>
          <w:sz w:val="24"/>
        </w:rPr>
      </w:pPr>
      <w:r>
        <w:rPr>
          <w:rFonts w:hint="eastAsia" w:eastAsia="宋体"/>
          <w:sz w:val="24"/>
        </w:rPr>
        <w:t xml:space="preserve">1、有效身份证件、学位证书、毕业证书原件并交复印件各一份；          </w:t>
      </w:r>
    </w:p>
    <w:p w14:paraId="44DEC1E5">
      <w:pPr>
        <w:spacing w:line="360" w:lineRule="auto"/>
        <w:ind w:firstLine="480" w:firstLineChars="200"/>
        <w:rPr>
          <w:rFonts w:eastAsia="宋体"/>
          <w:sz w:val="24"/>
        </w:rPr>
      </w:pPr>
      <w:r>
        <w:rPr>
          <w:rFonts w:hint="eastAsia" w:eastAsia="宋体"/>
          <w:sz w:val="24"/>
        </w:rPr>
        <w:t xml:space="preserve">2、填写“湖北师范大学接受在职人员以同等学力申请硕士学位登记表；                                                                    </w:t>
      </w:r>
    </w:p>
    <w:p w14:paraId="1291A4E3">
      <w:pPr>
        <w:spacing w:line="360" w:lineRule="auto"/>
        <w:ind w:firstLine="480" w:firstLineChars="200"/>
        <w:rPr>
          <w:rFonts w:eastAsia="宋体"/>
          <w:sz w:val="24"/>
        </w:rPr>
      </w:pPr>
      <w:r>
        <w:rPr>
          <w:rFonts w:hint="eastAsia" w:eastAsia="宋体"/>
          <w:sz w:val="24"/>
        </w:rPr>
        <w:t xml:space="preserve">3、已发表或出版的与申请学位专业相关的学术论文、专著或其它成果 ；                                                          </w:t>
      </w:r>
    </w:p>
    <w:p w14:paraId="164E206B">
      <w:pPr>
        <w:spacing w:line="360" w:lineRule="auto"/>
        <w:ind w:firstLine="480" w:firstLineChars="200"/>
        <w:rPr>
          <w:rFonts w:eastAsia="宋体"/>
          <w:sz w:val="24"/>
        </w:rPr>
      </w:pPr>
      <w:r>
        <w:rPr>
          <w:rFonts w:hint="eastAsia" w:eastAsia="宋体"/>
          <w:sz w:val="24"/>
        </w:rPr>
        <w:t xml:space="preserve">4、报名时需带同一底版近期一寸免冠照片三张。    </w:t>
      </w:r>
    </w:p>
    <w:p w14:paraId="0D49A4BF">
      <w:pPr>
        <w:rPr>
          <w:rFonts w:eastAsia="宋体"/>
          <w:b/>
          <w:bCs/>
          <w:sz w:val="24"/>
        </w:rPr>
      </w:pPr>
    </w:p>
    <w:p w14:paraId="49AE805E">
      <w:pPr>
        <w:numPr>
          <w:ilvl w:val="0"/>
          <w:numId w:val="1"/>
        </w:numPr>
        <w:spacing w:line="360" w:lineRule="auto"/>
        <w:rPr>
          <w:rFonts w:eastAsia="宋体"/>
          <w:b/>
          <w:bCs/>
          <w:sz w:val="24"/>
        </w:rPr>
      </w:pPr>
      <w:r>
        <w:rPr>
          <w:rFonts w:hint="eastAsia" w:eastAsia="宋体"/>
          <w:b/>
          <w:bCs/>
          <w:sz w:val="24"/>
        </w:rPr>
        <w:t>报名费用：</w:t>
      </w:r>
    </w:p>
    <w:p w14:paraId="2BD8D18A">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D34502E">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1C408A67">
      <w:pPr>
        <w:rPr>
          <w:rFonts w:eastAsia="宋体"/>
          <w:b/>
          <w:bCs/>
          <w:sz w:val="24"/>
        </w:rPr>
      </w:pPr>
    </w:p>
    <w:p w14:paraId="2ABE4ED4">
      <w:pPr>
        <w:numPr>
          <w:ilvl w:val="0"/>
          <w:numId w:val="1"/>
        </w:numPr>
        <w:rPr>
          <w:rFonts w:eastAsia="宋体"/>
          <w:b/>
          <w:bCs/>
          <w:sz w:val="24"/>
        </w:rPr>
      </w:pPr>
      <w:r>
        <w:rPr>
          <w:rFonts w:hint="eastAsia" w:eastAsia="宋体"/>
          <w:b/>
          <w:bCs/>
          <w:sz w:val="24"/>
        </w:rPr>
        <w:t>获取证书：</w:t>
      </w:r>
    </w:p>
    <w:p w14:paraId="26A347FC">
      <w:pPr>
        <w:spacing w:line="360" w:lineRule="auto"/>
        <w:ind w:firstLine="480" w:firstLineChars="200"/>
        <w:rPr>
          <w:rFonts w:eastAsia="宋体"/>
          <w:sz w:val="24"/>
        </w:rPr>
      </w:pPr>
      <w:r>
        <w:rPr>
          <w:rFonts w:hint="eastAsia" w:eastAsia="宋体"/>
          <w:sz w:val="24"/>
        </w:rPr>
        <w:t xml:space="preserve">1、学员完成课程学习且成绩合格，由学校颁发 “湖北师范大学研究生课程进修班结业证书”（加盖湖北师范大学的钢印、红印、 校长印）； </w:t>
      </w:r>
    </w:p>
    <w:p w14:paraId="0DDD16B6">
      <w:pPr>
        <w:spacing w:line="360" w:lineRule="auto"/>
        <w:ind w:firstLine="480" w:firstLineChars="200"/>
        <w:rPr>
          <w:rFonts w:eastAsia="宋体"/>
          <w:b/>
          <w:bCs/>
          <w:sz w:val="24"/>
        </w:rPr>
      </w:pPr>
      <w:r>
        <w:rPr>
          <w:rFonts w:hint="eastAsia" w:eastAsia="宋体"/>
          <w:sz w:val="24"/>
        </w:rPr>
        <w:t>2、满足同等学力申请硕士学位条件学员可申请申硕考试，成绩合格可获取湖北师范大学硕士学位证书，学位网可查。</w:t>
      </w:r>
    </w:p>
    <w:p w14:paraId="2D8E00CF">
      <w:pPr>
        <w:rPr>
          <w:rFonts w:eastAsia="宋体"/>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58BCE">
    <w:pPr>
      <w:pStyle w:val="4"/>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0342F7"/>
    <w:rsid w:val="001234BC"/>
    <w:rsid w:val="00323962"/>
    <w:rsid w:val="00330E76"/>
    <w:rsid w:val="006E4EB7"/>
    <w:rsid w:val="00721EC7"/>
    <w:rsid w:val="00786656"/>
    <w:rsid w:val="007B5FD4"/>
    <w:rsid w:val="00867D64"/>
    <w:rsid w:val="009F7226"/>
    <w:rsid w:val="00B22A59"/>
    <w:rsid w:val="00FB09D6"/>
    <w:rsid w:val="03C83F15"/>
    <w:rsid w:val="05FE7AC9"/>
    <w:rsid w:val="07352E6D"/>
    <w:rsid w:val="130B01B1"/>
    <w:rsid w:val="1CFE3265"/>
    <w:rsid w:val="38373238"/>
    <w:rsid w:val="3BC25593"/>
    <w:rsid w:val="457462B7"/>
    <w:rsid w:val="462B4F19"/>
    <w:rsid w:val="47150AA3"/>
    <w:rsid w:val="5E78697C"/>
    <w:rsid w:val="5F661BFD"/>
    <w:rsid w:val="650968B2"/>
    <w:rsid w:val="68BB4662"/>
    <w:rsid w:val="796930ED"/>
    <w:rsid w:val="79BA3DFB"/>
    <w:rsid w:val="7D9D0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character" w:customStyle="1" w:styleId="10">
    <w:name w:val="批注框文本 Char"/>
    <w:basedOn w:val="8"/>
    <w:link w:val="2"/>
    <w:qFormat/>
    <w:uiPriority w:val="0"/>
    <w:rPr>
      <w:rFonts w:asciiTheme="minorHAnsi" w:hAnsiTheme="minorHAnsi" w:eastAsiaTheme="minorEastAsia" w:cstheme="minorBidi"/>
      <w:kern w:val="2"/>
      <w:sz w:val="18"/>
      <w:szCs w:val="18"/>
    </w:rPr>
  </w:style>
  <w:style w:type="paragraph" w:styleId="1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1485</Words>
  <Characters>1510</Characters>
  <Lines>12</Lines>
  <Paragraphs>3</Paragraphs>
  <TotalTime>0</TotalTime>
  <ScaleCrop>false</ScaleCrop>
  <LinksUpToDate>false</LinksUpToDate>
  <CharactersWithSpaces>1695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2026-01-16T07:47:04Z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BBDDCA83D75F42A6AC48F638BBD00A03</vt:lpwstr>
  </property>
  <property fmtid="{D5CDD505-2E9C-101B-9397-08002B2CF9AE}" pid="4" name="KSOTemplateDocerSaveRecord">
    <vt:lpwstr>eyJoZGlkIjoiMjJkYmYyOGQwNjU2YTFjYjBlYWQzZDdlZjc2Nzk1ZWYifQ==</vt:lpwstr>
  </property>
</Properties>
</file>