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ECF0B">
      <w:pPr>
        <w:jc w:val="center"/>
        <w:rPr>
          <w:rFonts w:eastAsia="宋体"/>
          <w:color w:val="000000" w:themeColor="text1"/>
        </w:rPr>
      </w:pPr>
      <w:r>
        <w:rPr>
          <w:rFonts w:hint="eastAsia" w:eastAsia="宋体"/>
          <w:color w:val="000000" w:themeColor="text1"/>
        </w:rPr>
        <w:drawing>
          <wp:inline distT="0" distB="0" distL="114300" distR="114300">
            <wp:extent cx="3686175" cy="1303655"/>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3683172" cy="1302799"/>
                    </a:xfrm>
                    <a:prstGeom prst="rect">
                      <a:avLst/>
                    </a:prstGeom>
                  </pic:spPr>
                </pic:pic>
              </a:graphicData>
            </a:graphic>
          </wp:inline>
        </w:drawing>
      </w:r>
    </w:p>
    <w:p w14:paraId="695657E0">
      <w:pPr>
        <w:rPr>
          <w:rFonts w:eastAsia="宋体"/>
          <w:b/>
          <w:bCs/>
          <w:color w:val="000000" w:themeColor="text1"/>
          <w:sz w:val="36"/>
          <w:szCs w:val="36"/>
        </w:rPr>
      </w:pPr>
      <w:r>
        <w:rPr>
          <w:rFonts w:hint="eastAsia" w:eastAsia="宋体"/>
          <w:b/>
          <w:bCs/>
          <w:color w:val="000000" w:themeColor="text1"/>
          <w:sz w:val="36"/>
          <w:szCs w:val="36"/>
        </w:rPr>
        <w:t>湖北师范大学同等学力申请硕士学位基础数学专业</w:t>
      </w:r>
    </w:p>
    <w:p w14:paraId="6286196E">
      <w:pPr>
        <w:ind w:firstLine="3253" w:firstLineChars="900"/>
        <w:rPr>
          <w:rFonts w:eastAsia="宋体"/>
          <w:b/>
          <w:bCs/>
          <w:color w:val="000000" w:themeColor="text1"/>
          <w:sz w:val="36"/>
          <w:szCs w:val="36"/>
        </w:rPr>
      </w:pPr>
      <w:r>
        <w:rPr>
          <w:rFonts w:hint="eastAsia" w:eastAsia="宋体"/>
          <w:b/>
          <w:bCs/>
          <w:color w:val="000000" w:themeColor="text1"/>
          <w:sz w:val="36"/>
          <w:szCs w:val="36"/>
        </w:rPr>
        <w:t>招生简章</w:t>
      </w:r>
    </w:p>
    <w:p w14:paraId="01714999">
      <w:pPr>
        <w:rPr>
          <w:rFonts w:hint="eastAsia" w:eastAsia="宋体"/>
          <w:b/>
          <w:bCs/>
          <w:color w:val="000000" w:themeColor="text1"/>
        </w:rPr>
      </w:pPr>
    </w:p>
    <w:p w14:paraId="7694CE10">
      <w:pPr>
        <w:rPr>
          <w:rFonts w:eastAsia="宋体"/>
          <w:b/>
          <w:bCs/>
          <w:color w:val="000000" w:themeColor="text1"/>
        </w:rPr>
      </w:pPr>
    </w:p>
    <w:p w14:paraId="073E63C7">
      <w:pPr>
        <w:numPr>
          <w:ilvl w:val="0"/>
          <w:numId w:val="1"/>
        </w:numPr>
        <w:rPr>
          <w:rFonts w:eastAsia="宋体"/>
          <w:b/>
          <w:bCs/>
          <w:color w:val="000000" w:themeColor="text1"/>
          <w:sz w:val="24"/>
        </w:rPr>
      </w:pPr>
      <w:r>
        <w:rPr>
          <w:rFonts w:hint="eastAsia" w:eastAsia="宋体"/>
          <w:b/>
          <w:bCs/>
          <w:color w:val="000000" w:themeColor="text1"/>
          <w:sz w:val="24"/>
        </w:rPr>
        <w:t>学校简介：</w:t>
      </w:r>
    </w:p>
    <w:p w14:paraId="370DAEB6">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5F0FB124">
      <w:pPr>
        <w:spacing w:line="360" w:lineRule="auto"/>
        <w:ind w:firstLine="480" w:firstLineChars="200"/>
        <w:rPr>
          <w:rFonts w:eastAsia="宋体"/>
          <w:b/>
          <w:bCs/>
          <w:color w:val="000000" w:themeColor="text1"/>
          <w:sz w:val="24"/>
        </w:rPr>
      </w:pPr>
      <w:r>
        <w:rPr>
          <w:rFonts w:hint="eastAsia" w:eastAsia="宋体"/>
          <w:color w:val="000000" w:themeColor="text1"/>
          <w:sz w:val="24"/>
        </w:rPr>
        <w:t>基础数学又称为纯粹数学，是数学的核心。它的思想、方法和结论是整个数学科学的基础，是自然科学、社会科学、工程技术等方面的思想库。基础数学包含数理逻辑、数论、代数、几何、拓扑、函数论、泛函分析、微分方程等众多的分支学科，并还在源源不断地产生新的研究领域，范围异常广泛，就总体而言，远远超出了一般意义下的一个“研究方向”的研究范畴。</w:t>
      </w:r>
    </w:p>
    <w:p w14:paraId="57A767ED">
      <w:pPr>
        <w:rPr>
          <w:rFonts w:eastAsia="宋体"/>
          <w:b/>
          <w:bCs/>
          <w:color w:val="000000" w:themeColor="text1"/>
          <w:sz w:val="24"/>
        </w:rPr>
      </w:pPr>
    </w:p>
    <w:p w14:paraId="00748870">
      <w:pPr>
        <w:numPr>
          <w:ilvl w:val="0"/>
          <w:numId w:val="1"/>
        </w:numPr>
        <w:rPr>
          <w:rFonts w:eastAsia="宋体"/>
          <w:b/>
          <w:bCs/>
          <w:color w:val="000000" w:themeColor="text1"/>
          <w:sz w:val="24"/>
        </w:rPr>
      </w:pPr>
      <w:r>
        <w:rPr>
          <w:rFonts w:hint="eastAsia" w:eastAsia="宋体"/>
          <w:b/>
          <w:bCs/>
          <w:color w:val="000000" w:themeColor="text1"/>
          <w:sz w:val="24"/>
        </w:rPr>
        <w:t>培养目标：</w:t>
      </w:r>
    </w:p>
    <w:p w14:paraId="7A0AD07F">
      <w:pPr>
        <w:spacing w:line="360" w:lineRule="auto"/>
        <w:ind w:firstLine="480" w:firstLineChars="200"/>
        <w:rPr>
          <w:rFonts w:eastAsia="宋体"/>
          <w:color w:val="000000" w:themeColor="text1"/>
          <w:sz w:val="24"/>
        </w:rPr>
      </w:pPr>
      <w:r>
        <w:rPr>
          <w:rFonts w:hint="eastAsia" w:eastAsia="宋体"/>
          <w:color w:val="000000" w:themeColor="text1"/>
          <w:sz w:val="24"/>
        </w:rPr>
        <w:t>本专业主要通过学习和掌握基础数学理论知识和系统全面的数学专业知识，了解数学专业的前沿进展和动向发展，熟练地掌握一门外语，并能用二外阅读专业文献。向社会培养具有德智体全面发展的，适应面向现代化、面向世界、面向未来的德智体全面发展的高级基础数学理论研究人才。</w:t>
      </w:r>
    </w:p>
    <w:p w14:paraId="572EBBAD">
      <w:pPr>
        <w:rPr>
          <w:rFonts w:eastAsia="宋体"/>
          <w:b/>
          <w:bCs/>
          <w:color w:val="000000" w:themeColor="text1"/>
          <w:sz w:val="24"/>
        </w:rPr>
      </w:pPr>
    </w:p>
    <w:p w14:paraId="17FA169B">
      <w:pPr>
        <w:rPr>
          <w:rFonts w:hint="eastAsia" w:eastAsia="宋体"/>
          <w:b/>
          <w:bCs/>
          <w:color w:val="000000" w:themeColor="text1"/>
          <w:sz w:val="24"/>
        </w:rPr>
      </w:pPr>
    </w:p>
    <w:p w14:paraId="63C54754">
      <w:pPr>
        <w:rPr>
          <w:rFonts w:eastAsia="宋体"/>
          <w:b/>
          <w:bCs/>
          <w:color w:val="000000" w:themeColor="text1"/>
          <w:sz w:val="24"/>
        </w:rPr>
      </w:pPr>
    </w:p>
    <w:p w14:paraId="701BB7A6">
      <w:pPr>
        <w:numPr>
          <w:ilvl w:val="0"/>
          <w:numId w:val="1"/>
        </w:numPr>
        <w:rPr>
          <w:rFonts w:eastAsia="宋体"/>
          <w:b/>
          <w:bCs/>
          <w:color w:val="000000" w:themeColor="text1"/>
          <w:sz w:val="24"/>
        </w:rPr>
      </w:pPr>
      <w:r>
        <w:rPr>
          <w:rFonts w:hint="eastAsia" w:eastAsia="宋体"/>
          <w:b/>
          <w:bCs/>
          <w:color w:val="000000" w:themeColor="text1"/>
          <w:sz w:val="24"/>
        </w:rPr>
        <w:t>培养优势：</w:t>
      </w:r>
    </w:p>
    <w:p w14:paraId="2A2E4B75">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7F23BE5F">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7C73FDA5">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【申硕科目少】学员满足申硕条件参加全国统一同等学力申请硕士学位考试，仅考外语1科目</w:t>
      </w:r>
      <w:r>
        <w:rPr>
          <w:rFonts w:hint="eastAsia" w:ascii="宋体" w:hAnsi="宋体"/>
          <w:color w:val="000000" w:themeColor="text1"/>
          <w:sz w:val="24"/>
        </w:rPr>
        <w:t>，百分制六十分及格</w:t>
      </w:r>
      <w:r>
        <w:rPr>
          <w:rFonts w:hint="eastAsia" w:ascii="宋体" w:hAnsi="宋体" w:eastAsia="宋体" w:cs="Times New Roman"/>
          <w:color w:val="000000" w:themeColor="text1"/>
          <w:sz w:val="24"/>
        </w:rPr>
        <w:t>难度较低；</w:t>
      </w:r>
    </w:p>
    <w:p w14:paraId="7120BA36">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2227D895">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13D12B37">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18209CF3">
      <w:pPr>
        <w:spacing w:line="360" w:lineRule="auto"/>
        <w:rPr>
          <w:rFonts w:eastAsia="宋体"/>
          <w:color w:val="000000" w:themeColor="text1"/>
          <w:sz w:val="24"/>
        </w:rPr>
      </w:pPr>
    </w:p>
    <w:p w14:paraId="5E798B03">
      <w:pPr>
        <w:numPr>
          <w:ilvl w:val="0"/>
          <w:numId w:val="1"/>
        </w:numPr>
        <w:rPr>
          <w:rFonts w:hint="eastAsia" w:eastAsia="宋体"/>
          <w:b/>
          <w:bCs/>
          <w:color w:val="000000" w:themeColor="text1"/>
          <w:sz w:val="24"/>
        </w:rPr>
      </w:pPr>
      <w:r>
        <w:rPr>
          <w:rFonts w:hint="eastAsia" w:eastAsia="宋体"/>
          <w:b/>
          <w:bCs/>
          <w:color w:val="000000" w:themeColor="text1"/>
          <w:sz w:val="24"/>
        </w:rPr>
        <w:t>课程设置：</w:t>
      </w:r>
    </w:p>
    <w:p w14:paraId="14FA0AC7">
      <w:pPr>
        <w:rPr>
          <w:rFonts w:eastAsia="宋体"/>
          <w:b/>
          <w:bCs/>
          <w:color w:val="000000" w:themeColor="text1"/>
          <w:sz w:val="24"/>
        </w:rPr>
      </w:pPr>
    </w:p>
    <w:tbl>
      <w:tblPr>
        <w:tblStyle w:val="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320"/>
        <w:gridCol w:w="2397"/>
      </w:tblGrid>
      <w:tr w14:paraId="3EC9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1" w:type="dxa"/>
            <w:gridSpan w:val="3"/>
            <w:vAlign w:val="center"/>
          </w:tcPr>
          <w:p w14:paraId="7DC85EC8">
            <w:pPr>
              <w:pStyle w:val="5"/>
              <w:snapToGrid w:val="0"/>
              <w:spacing w:line="360" w:lineRule="auto"/>
              <w:contextualSpacing/>
              <w:jc w:val="center"/>
              <w:rPr>
                <w:rFonts w:asciiTheme="minorEastAsia" w:hAnsiTheme="minorEastAsia" w:eastAsiaTheme="minorEastAsia"/>
                <w:b/>
                <w:color w:val="000000" w:themeColor="text1"/>
              </w:rPr>
            </w:pPr>
            <w:r>
              <w:rPr>
                <w:rFonts w:hint="eastAsia" w:asciiTheme="minorEastAsia" w:hAnsiTheme="minorEastAsia" w:eastAsiaTheme="minorEastAsia"/>
                <w:b/>
                <w:color w:val="000000" w:themeColor="text1"/>
                <w:lang w:val="en-US" w:eastAsia="zh-CN"/>
              </w:rPr>
              <w:t>基础数学</w:t>
            </w:r>
            <w:r>
              <w:rPr>
                <w:rFonts w:hint="eastAsia" w:asciiTheme="minorEastAsia" w:hAnsiTheme="minorEastAsia" w:eastAsiaTheme="minorEastAsia"/>
                <w:b/>
                <w:color w:val="000000" w:themeColor="text1"/>
              </w:rPr>
              <w:t>专业</w:t>
            </w:r>
            <w:r>
              <w:rPr>
                <w:rFonts w:asciiTheme="minorEastAsia" w:hAnsiTheme="minorEastAsia" w:eastAsiaTheme="minorEastAsia"/>
                <w:b/>
                <w:color w:val="000000" w:themeColor="text1"/>
              </w:rPr>
              <w:t>课程设置</w:t>
            </w:r>
          </w:p>
        </w:tc>
      </w:tr>
      <w:tr w14:paraId="7F9C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7A770513">
            <w:pPr>
              <w:pStyle w:val="5"/>
              <w:snapToGrid w:val="0"/>
              <w:spacing w:line="360" w:lineRule="auto"/>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必修</w:t>
            </w:r>
            <w:r>
              <w:rPr>
                <w:rFonts w:asciiTheme="minorEastAsia" w:hAnsiTheme="minorEastAsia" w:eastAsiaTheme="minorEastAsia"/>
                <w:color w:val="000000" w:themeColor="text1"/>
                <w:sz w:val="21"/>
                <w:szCs w:val="21"/>
              </w:rPr>
              <w:t>课程</w:t>
            </w:r>
          </w:p>
        </w:tc>
        <w:tc>
          <w:tcPr>
            <w:tcW w:w="4320" w:type="dxa"/>
            <w:vAlign w:val="center"/>
          </w:tcPr>
          <w:p w14:paraId="7A8C9867">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中国特色社会主义理论与实践研究</w:t>
            </w:r>
          </w:p>
        </w:tc>
        <w:tc>
          <w:tcPr>
            <w:tcW w:w="2397" w:type="dxa"/>
            <w:vAlign w:val="center"/>
          </w:tcPr>
          <w:p w14:paraId="15FBA6DF">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外国语</w:t>
            </w:r>
          </w:p>
        </w:tc>
      </w:tr>
      <w:tr w14:paraId="672E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7DCD6613">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154DE99B">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现代计算机网络</w:t>
            </w:r>
          </w:p>
        </w:tc>
        <w:tc>
          <w:tcPr>
            <w:tcW w:w="2397" w:type="dxa"/>
            <w:vAlign w:val="center"/>
          </w:tcPr>
          <w:p w14:paraId="0DED383A">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自然辩证法</w:t>
            </w:r>
          </w:p>
        </w:tc>
      </w:tr>
      <w:tr w14:paraId="3567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5E0BFDAB">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713F7A1">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软计算方法</w:t>
            </w:r>
          </w:p>
        </w:tc>
        <w:tc>
          <w:tcPr>
            <w:tcW w:w="2397" w:type="dxa"/>
            <w:vAlign w:val="center"/>
          </w:tcPr>
          <w:p w14:paraId="1548C9C9">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泛函分析</w:t>
            </w:r>
          </w:p>
        </w:tc>
      </w:tr>
      <w:tr w14:paraId="363D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245082B7">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7F811202">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论文学术规范与写作指导</w:t>
            </w:r>
          </w:p>
        </w:tc>
        <w:tc>
          <w:tcPr>
            <w:tcW w:w="2397" w:type="dxa"/>
            <w:vAlign w:val="center"/>
          </w:tcPr>
          <w:p w14:paraId="75F9B445">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算法设计与分析</w:t>
            </w:r>
          </w:p>
        </w:tc>
      </w:tr>
      <w:tr w14:paraId="64DA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4A366CFA">
            <w:pPr>
              <w:pStyle w:val="5"/>
              <w:snapToGrid w:val="0"/>
              <w:spacing w:line="360" w:lineRule="auto"/>
              <w:ind w:left="105" w:leftChars="50"/>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专业</w:t>
            </w:r>
            <w:r>
              <w:rPr>
                <w:rFonts w:asciiTheme="minorEastAsia" w:hAnsiTheme="minorEastAsia" w:eastAsiaTheme="minorEastAsia"/>
                <w:color w:val="000000" w:themeColor="text1"/>
                <w:sz w:val="21"/>
                <w:szCs w:val="21"/>
              </w:rPr>
              <w:t>选修</w:t>
            </w:r>
            <w:r>
              <w:rPr>
                <w:rFonts w:hint="eastAsia" w:asciiTheme="minorEastAsia" w:hAnsiTheme="minorEastAsia" w:eastAsiaTheme="minorEastAsia"/>
                <w:color w:val="000000" w:themeColor="text1"/>
                <w:sz w:val="21"/>
                <w:szCs w:val="21"/>
              </w:rPr>
              <w:t>课程</w:t>
            </w:r>
          </w:p>
        </w:tc>
        <w:tc>
          <w:tcPr>
            <w:tcW w:w="4320" w:type="dxa"/>
            <w:vAlign w:val="center"/>
          </w:tcPr>
          <w:p w14:paraId="2041C27D">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现代控制理论及技术</w:t>
            </w:r>
          </w:p>
        </w:tc>
        <w:tc>
          <w:tcPr>
            <w:tcW w:w="2397" w:type="dxa"/>
            <w:vAlign w:val="center"/>
          </w:tcPr>
          <w:p w14:paraId="38C38576">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随机控制理论</w:t>
            </w:r>
          </w:p>
        </w:tc>
      </w:tr>
      <w:tr w14:paraId="347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717E219F">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12FFEA63">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cstheme="minorEastAsia"/>
                <w:color w:val="000000" w:themeColor="text1"/>
                <w:szCs w:val="21"/>
              </w:rPr>
              <w:t>非线性泛函分析</w:t>
            </w:r>
          </w:p>
        </w:tc>
        <w:tc>
          <w:tcPr>
            <w:tcW w:w="2397" w:type="dxa"/>
            <w:vAlign w:val="center"/>
          </w:tcPr>
          <w:p w14:paraId="1CA12989">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向量最优化理论</w:t>
            </w:r>
          </w:p>
        </w:tc>
      </w:tr>
      <w:tr w14:paraId="50A3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6873F4C1">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3D117D04">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变分迭代法</w:t>
            </w:r>
          </w:p>
        </w:tc>
        <w:tc>
          <w:tcPr>
            <w:tcW w:w="2397" w:type="dxa"/>
            <w:vAlign w:val="center"/>
          </w:tcPr>
          <w:p w14:paraId="3BED9EC0">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微分拓扑</w:t>
            </w:r>
          </w:p>
        </w:tc>
      </w:tr>
    </w:tbl>
    <w:p w14:paraId="0FFB9DDE">
      <w:pPr>
        <w:pStyle w:val="5"/>
        <w:snapToGrid w:val="0"/>
        <w:spacing w:line="360" w:lineRule="auto"/>
        <w:ind w:firstLine="2730" w:firstLineChars="1300"/>
        <w:contextualSpacing/>
        <w:rPr>
          <w:b/>
          <w:bCs/>
          <w:color w:val="000000" w:themeColor="text1"/>
        </w:rPr>
      </w:pPr>
      <w:r>
        <w:rPr>
          <w:rFonts w:hint="eastAsia" w:asciiTheme="minorEastAsia" w:hAnsiTheme="minorEastAsia" w:eastAsiaTheme="minorEastAsia"/>
          <w:color w:val="000000" w:themeColor="text1"/>
          <w:sz w:val="21"/>
          <w:szCs w:val="21"/>
        </w:rPr>
        <w:t>注：部分课程参照实际教学</w:t>
      </w:r>
    </w:p>
    <w:p w14:paraId="5EAF2396">
      <w:pPr>
        <w:numPr>
          <w:ilvl w:val="0"/>
          <w:numId w:val="1"/>
        </w:numPr>
        <w:rPr>
          <w:rFonts w:eastAsia="宋体"/>
          <w:b/>
          <w:bCs/>
          <w:color w:val="000000" w:themeColor="text1"/>
          <w:sz w:val="24"/>
        </w:rPr>
      </w:pPr>
      <w:r>
        <w:rPr>
          <w:rFonts w:hint="eastAsia" w:eastAsia="宋体"/>
          <w:b/>
          <w:bCs/>
          <w:color w:val="000000" w:themeColor="text1"/>
          <w:sz w:val="24"/>
        </w:rPr>
        <w:t>报考条件：</w:t>
      </w:r>
    </w:p>
    <w:p w14:paraId="622E7360">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278FB0E2">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79868582">
      <w:pPr>
        <w:spacing w:line="360" w:lineRule="auto"/>
        <w:ind w:firstLine="480" w:firstLineChars="200"/>
        <w:rPr>
          <w:rFonts w:hint="eastAsia" w:eastAsia="宋体"/>
          <w:color w:val="000000" w:themeColor="text1"/>
          <w:sz w:val="24"/>
        </w:rPr>
      </w:pPr>
      <w:r>
        <w:rPr>
          <w:rFonts w:hint="eastAsia" w:eastAsia="宋体"/>
          <w:color w:val="000000" w:themeColor="text1"/>
          <w:sz w:val="24"/>
        </w:rPr>
        <w:t xml:space="preserve">3、具有专科学历或本科学历无学士学位者，具有两年以上工作经验，经申 请也可报读，但不能申请硕士学位。 </w:t>
      </w:r>
    </w:p>
    <w:p w14:paraId="497DA296">
      <w:pPr>
        <w:spacing w:line="360" w:lineRule="auto"/>
        <w:ind w:firstLine="480" w:firstLineChars="200"/>
        <w:rPr>
          <w:rFonts w:eastAsia="宋体"/>
          <w:color w:val="000000" w:themeColor="text1"/>
          <w:sz w:val="24"/>
        </w:rPr>
      </w:pPr>
    </w:p>
    <w:p w14:paraId="302526AD">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24413542">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授课方式：线上（录播或直播）与线下讲座相结合</w:t>
      </w:r>
    </w:p>
    <w:p w14:paraId="01F7D5BF">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684606D8">
      <w:pPr>
        <w:rPr>
          <w:rFonts w:eastAsia="宋体"/>
          <w:b/>
          <w:bCs/>
          <w:color w:val="000000" w:themeColor="text1"/>
          <w:sz w:val="24"/>
        </w:rPr>
      </w:pPr>
    </w:p>
    <w:p w14:paraId="65306AE4">
      <w:pPr>
        <w:numPr>
          <w:ilvl w:val="0"/>
          <w:numId w:val="1"/>
        </w:numPr>
        <w:rPr>
          <w:rFonts w:eastAsia="宋体"/>
          <w:b/>
          <w:bCs/>
          <w:color w:val="000000" w:themeColor="text1"/>
          <w:sz w:val="24"/>
        </w:rPr>
      </w:pPr>
      <w:r>
        <w:rPr>
          <w:rFonts w:hint="eastAsia" w:eastAsia="宋体"/>
          <w:b/>
          <w:bCs/>
          <w:color w:val="000000" w:themeColor="text1"/>
          <w:sz w:val="24"/>
        </w:rPr>
        <w:t>报名材料：</w:t>
      </w:r>
    </w:p>
    <w:p w14:paraId="4A36AD0D">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539A12E4">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5AB78D8C">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70E110E6">
      <w:pPr>
        <w:spacing w:line="360" w:lineRule="auto"/>
        <w:ind w:firstLine="480" w:firstLineChars="20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113F01D6">
      <w:pPr>
        <w:rPr>
          <w:rFonts w:eastAsia="宋体"/>
          <w:b/>
          <w:bCs/>
          <w:color w:val="000000" w:themeColor="text1"/>
          <w:sz w:val="24"/>
        </w:rPr>
      </w:pPr>
    </w:p>
    <w:p w14:paraId="07F5118E">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318D3AD">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642CF00">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6F28AEAE">
      <w:pPr>
        <w:rPr>
          <w:rFonts w:eastAsia="宋体"/>
          <w:b/>
          <w:bCs/>
          <w:color w:val="000000" w:themeColor="text1"/>
          <w:sz w:val="24"/>
        </w:rPr>
      </w:pPr>
    </w:p>
    <w:p w14:paraId="5263FE9C">
      <w:pPr>
        <w:numPr>
          <w:ilvl w:val="0"/>
          <w:numId w:val="1"/>
        </w:numPr>
        <w:rPr>
          <w:rFonts w:eastAsia="宋体"/>
          <w:b/>
          <w:bCs/>
          <w:color w:val="000000" w:themeColor="text1"/>
          <w:sz w:val="24"/>
        </w:rPr>
      </w:pPr>
      <w:r>
        <w:rPr>
          <w:rFonts w:hint="eastAsia" w:eastAsia="宋体"/>
          <w:b/>
          <w:bCs/>
          <w:color w:val="000000" w:themeColor="text1"/>
          <w:sz w:val="24"/>
        </w:rPr>
        <w:t>获取证书：</w:t>
      </w:r>
    </w:p>
    <w:p w14:paraId="4F18B925">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5D580557">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726A84B5">
      <w:pPr>
        <w:rPr>
          <w:rFonts w:eastAsia="宋体"/>
          <w:color w:val="000000" w:themeColor="text1"/>
          <w:sz w:val="24"/>
        </w:rPr>
      </w:pPr>
      <w:bookmarkStart w:id="0" w:name="_GoBack"/>
      <w:bookmarkEnd w:id="0"/>
    </w:p>
    <w:p w14:paraId="3D5F6925">
      <w:pPr>
        <w:rPr>
          <w:rFonts w:eastAsia="宋体"/>
          <w:color w:val="000000" w:themeColor="text1"/>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BB202">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295A4D"/>
    <w:rsid w:val="007573BB"/>
    <w:rsid w:val="00A251F1"/>
    <w:rsid w:val="00A744C6"/>
    <w:rsid w:val="00F44B85"/>
    <w:rsid w:val="017738CD"/>
    <w:rsid w:val="15C423C5"/>
    <w:rsid w:val="1CC8600A"/>
    <w:rsid w:val="53BB78BA"/>
    <w:rsid w:val="5C155679"/>
    <w:rsid w:val="62831B48"/>
    <w:rsid w:val="68BB4662"/>
    <w:rsid w:val="784A5C6E"/>
    <w:rsid w:val="786F07FB"/>
    <w:rsid w:val="79693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1486</Words>
  <Characters>1511</Characters>
  <Lines>13</Lines>
  <Paragraphs>3</Paragraphs>
  <TotalTime>0</TotalTime>
  <ScaleCrop>false</ScaleCrop>
  <LinksUpToDate>false</LinksUpToDate>
  <CharactersWithSpaces>1695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2026-01-16T07:51:37Z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C8CC59AFC02F4165A53095A545E3E762</vt:lpwstr>
  </property>
  <property fmtid="{D5CDD505-2E9C-101B-9397-08002B2CF9AE}" pid="4" name="KSOTemplateDocerSaveRecord">
    <vt:lpwstr>eyJoZGlkIjoiMjJkYmYyOGQwNjU2YTFjYjBlYWQzZDdlZjc2Nzk1ZWYifQ==</vt:lpwstr>
  </property>
</Properties>
</file>