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6C913">
      <w:pPr>
        <w:jc w:val="center"/>
        <w:rPr>
          <w:rFonts w:eastAsia="宋体"/>
          <w:color w:val="000000" w:themeColor="text1"/>
        </w:rPr>
      </w:pPr>
      <w:r>
        <w:rPr>
          <w:rFonts w:hint="eastAsia" w:eastAsia="宋体"/>
          <w:color w:val="000000" w:themeColor="text1"/>
        </w:rPr>
        <w:drawing>
          <wp:inline distT="0" distB="0" distL="114300" distR="114300">
            <wp:extent cx="3876675" cy="1370965"/>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3873517" cy="1370127"/>
                    </a:xfrm>
                    <a:prstGeom prst="rect">
                      <a:avLst/>
                    </a:prstGeom>
                  </pic:spPr>
                </pic:pic>
              </a:graphicData>
            </a:graphic>
          </wp:inline>
        </w:drawing>
      </w:r>
    </w:p>
    <w:p w14:paraId="1D47C6DE">
      <w:pPr>
        <w:rPr>
          <w:rFonts w:eastAsia="宋体"/>
          <w:color w:val="000000" w:themeColor="text1"/>
        </w:rPr>
      </w:pPr>
    </w:p>
    <w:p w14:paraId="782F3BAD">
      <w:pPr>
        <w:jc w:val="center"/>
        <w:rPr>
          <w:rFonts w:hint="eastAsia" w:eastAsia="宋体"/>
          <w:b/>
          <w:bCs/>
          <w:color w:val="000000" w:themeColor="text1"/>
          <w:sz w:val="36"/>
          <w:szCs w:val="36"/>
        </w:rPr>
      </w:pPr>
      <w:r>
        <w:rPr>
          <w:rFonts w:hint="eastAsia" w:eastAsia="宋体"/>
          <w:b/>
          <w:bCs/>
          <w:color w:val="000000" w:themeColor="text1"/>
          <w:sz w:val="36"/>
          <w:szCs w:val="36"/>
        </w:rPr>
        <w:t>湖北师范大学同等学力申请硕士学位</w:t>
      </w:r>
    </w:p>
    <w:p w14:paraId="01CE2EAE">
      <w:pPr>
        <w:jc w:val="center"/>
        <w:rPr>
          <w:rFonts w:eastAsia="宋体"/>
          <w:b/>
          <w:bCs/>
          <w:color w:val="000000" w:themeColor="text1"/>
          <w:sz w:val="36"/>
          <w:szCs w:val="36"/>
        </w:rPr>
      </w:pPr>
      <w:r>
        <w:rPr>
          <w:rFonts w:hint="eastAsia" w:eastAsia="宋体"/>
          <w:b/>
          <w:bCs/>
          <w:color w:val="000000" w:themeColor="text1"/>
          <w:sz w:val="36"/>
          <w:szCs w:val="36"/>
        </w:rPr>
        <w:t>信息计算与智能系统专业招生简章</w:t>
      </w:r>
    </w:p>
    <w:p w14:paraId="6F2ED7BC">
      <w:pPr>
        <w:rPr>
          <w:rFonts w:eastAsia="宋体"/>
          <w:b/>
          <w:bCs/>
          <w:color w:val="000000" w:themeColor="text1"/>
        </w:rPr>
      </w:pPr>
    </w:p>
    <w:p w14:paraId="415ACB14">
      <w:pPr>
        <w:numPr>
          <w:ilvl w:val="0"/>
          <w:numId w:val="1"/>
        </w:numPr>
        <w:rPr>
          <w:rFonts w:eastAsia="宋体"/>
          <w:b/>
          <w:bCs/>
          <w:color w:val="000000" w:themeColor="text1"/>
          <w:sz w:val="24"/>
        </w:rPr>
      </w:pPr>
      <w:r>
        <w:rPr>
          <w:rFonts w:hint="eastAsia" w:eastAsia="宋体"/>
          <w:b/>
          <w:bCs/>
          <w:color w:val="000000" w:themeColor="text1"/>
          <w:sz w:val="24"/>
        </w:rPr>
        <w:t>学校简介：</w:t>
      </w:r>
    </w:p>
    <w:p w14:paraId="0582431A">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3BB32F8B">
      <w:pPr>
        <w:spacing w:line="360" w:lineRule="auto"/>
        <w:ind w:firstLine="480" w:firstLineChars="200"/>
        <w:rPr>
          <w:rFonts w:hint="eastAsia" w:eastAsia="宋体"/>
          <w:color w:val="000000" w:themeColor="text1"/>
          <w:sz w:val="24"/>
        </w:rPr>
      </w:pPr>
      <w:r>
        <w:rPr>
          <w:rFonts w:hint="eastAsia" w:eastAsia="宋体"/>
          <w:color w:val="000000" w:themeColor="text1"/>
          <w:sz w:val="24"/>
        </w:rPr>
        <w:t>信息计算与智能系统专业已形成了无线网络与智能计算、人机交互与智能识别、并行处理与系统集群三个稳定的研究方向。聚焦领域数据的精准采集、多源融合、智能分析与应用开发，包括领域的多源数据处理、知识挖掘、语义推理、个性化推荐技术；支持领域服务应用的大数据计算框架、数据服务引擎及可视化配置技术；面向领域服务需求的软件建模、分析验证以及敏捷开发实现技术。在智能电网、生产过程管控等领域具有多年技术积累，产生了显著的行业影响。</w:t>
      </w:r>
    </w:p>
    <w:p w14:paraId="7D7BAD5F">
      <w:pPr>
        <w:spacing w:line="360" w:lineRule="auto"/>
        <w:ind w:firstLine="480" w:firstLineChars="200"/>
        <w:rPr>
          <w:rFonts w:eastAsia="宋体"/>
          <w:color w:val="000000" w:themeColor="text1"/>
          <w:sz w:val="24"/>
        </w:rPr>
      </w:pPr>
    </w:p>
    <w:p w14:paraId="565839BB">
      <w:pPr>
        <w:numPr>
          <w:ilvl w:val="0"/>
          <w:numId w:val="1"/>
        </w:numPr>
        <w:rPr>
          <w:rFonts w:eastAsia="宋体"/>
          <w:b/>
          <w:bCs/>
          <w:color w:val="000000" w:themeColor="text1"/>
          <w:sz w:val="24"/>
        </w:rPr>
      </w:pPr>
      <w:r>
        <w:rPr>
          <w:rFonts w:hint="eastAsia" w:eastAsia="宋体"/>
          <w:b/>
          <w:bCs/>
          <w:color w:val="000000" w:themeColor="text1"/>
          <w:sz w:val="24"/>
        </w:rPr>
        <w:t>培养目标：</w:t>
      </w:r>
    </w:p>
    <w:p w14:paraId="09A75361">
      <w:pPr>
        <w:spacing w:line="360" w:lineRule="auto"/>
        <w:ind w:firstLine="480" w:firstLineChars="200"/>
        <w:rPr>
          <w:rFonts w:eastAsia="宋体"/>
          <w:color w:val="000000" w:themeColor="text1"/>
          <w:sz w:val="24"/>
        </w:rPr>
      </w:pPr>
      <w:r>
        <w:rPr>
          <w:rFonts w:hint="eastAsia" w:eastAsia="宋体"/>
          <w:color w:val="000000" w:themeColor="text1"/>
          <w:sz w:val="24"/>
        </w:rPr>
        <w:t>本专业要求学生掌握信息计算与智能系统学科坚实的基础理论，了解本学科方向的进展，在与自身确定的研究专题关联的基本理论和技术实现方面具有独到的见解，并具备相应的实践能力，具有严谨求实的科学态度、较深的学术修养。特别是独立分析和解决实际问题的能力，做出有理论价值和实际意义的成果。培养德、智、体全面发展的、具有较高政治素质和专业素质的、能适应社会主义建设需要的、能从事信息计算与智能系统应用的高层次专门人才。</w:t>
      </w:r>
    </w:p>
    <w:p w14:paraId="3B3DCDA9">
      <w:pPr>
        <w:spacing w:line="360" w:lineRule="auto"/>
        <w:ind w:firstLine="480" w:firstLineChars="200"/>
        <w:rPr>
          <w:rFonts w:eastAsia="宋体"/>
          <w:color w:val="000000" w:themeColor="text1"/>
          <w:sz w:val="24"/>
        </w:rPr>
      </w:pPr>
    </w:p>
    <w:p w14:paraId="06539233">
      <w:pPr>
        <w:numPr>
          <w:ilvl w:val="0"/>
          <w:numId w:val="1"/>
        </w:numPr>
        <w:rPr>
          <w:rFonts w:eastAsia="宋体"/>
          <w:b/>
          <w:bCs/>
          <w:color w:val="000000" w:themeColor="text1"/>
          <w:sz w:val="24"/>
        </w:rPr>
      </w:pPr>
      <w:r>
        <w:rPr>
          <w:rFonts w:hint="eastAsia" w:eastAsia="宋体"/>
          <w:b/>
          <w:bCs/>
          <w:color w:val="000000" w:themeColor="text1"/>
          <w:sz w:val="24"/>
        </w:rPr>
        <w:t>培养优势：</w:t>
      </w:r>
    </w:p>
    <w:p w14:paraId="790CB652">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15795B64">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2A4CAD87">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【申硕科目少】学员满足申硕条件参加全国统一同等学力申请硕士学位考试，仅考外语1科目</w:t>
      </w:r>
      <w:r>
        <w:rPr>
          <w:rFonts w:hint="eastAsia" w:ascii="宋体" w:hAnsi="宋体"/>
          <w:color w:val="000000" w:themeColor="text1"/>
          <w:sz w:val="24"/>
        </w:rPr>
        <w:t>，百分制六十分及格</w:t>
      </w:r>
      <w:r>
        <w:rPr>
          <w:rFonts w:hint="eastAsia" w:ascii="宋体" w:hAnsi="宋体" w:eastAsia="宋体" w:cs="Times New Roman"/>
          <w:color w:val="000000" w:themeColor="text1"/>
          <w:sz w:val="24"/>
        </w:rPr>
        <w:t>难度较低；</w:t>
      </w:r>
    </w:p>
    <w:p w14:paraId="3AD8D338">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00CB7105">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62E453D9">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3136541E">
      <w:pPr>
        <w:spacing w:line="360" w:lineRule="auto"/>
        <w:rPr>
          <w:rFonts w:eastAsia="宋体"/>
          <w:color w:val="000000" w:themeColor="text1"/>
          <w:sz w:val="24"/>
        </w:rPr>
      </w:pPr>
    </w:p>
    <w:p w14:paraId="65F6AD13">
      <w:pPr>
        <w:numPr>
          <w:ilvl w:val="0"/>
          <w:numId w:val="1"/>
        </w:numPr>
        <w:rPr>
          <w:rFonts w:hint="eastAsia" w:eastAsia="宋体"/>
          <w:b/>
          <w:bCs/>
          <w:color w:val="000000" w:themeColor="text1"/>
          <w:sz w:val="24"/>
        </w:rPr>
      </w:pPr>
      <w:r>
        <w:rPr>
          <w:rFonts w:hint="eastAsia" w:eastAsia="宋体"/>
          <w:b/>
          <w:bCs/>
          <w:color w:val="000000" w:themeColor="text1"/>
          <w:sz w:val="24"/>
        </w:rPr>
        <w:t>课程设置：</w:t>
      </w:r>
    </w:p>
    <w:tbl>
      <w:tblPr>
        <w:tblStyle w:val="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320"/>
        <w:gridCol w:w="2397"/>
      </w:tblGrid>
      <w:tr w14:paraId="0AB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1" w:type="dxa"/>
            <w:gridSpan w:val="3"/>
            <w:vAlign w:val="center"/>
          </w:tcPr>
          <w:p w14:paraId="53D51B7B">
            <w:pPr>
              <w:pStyle w:val="5"/>
              <w:snapToGrid w:val="0"/>
              <w:spacing w:line="360" w:lineRule="auto"/>
              <w:contextualSpacing/>
              <w:jc w:val="center"/>
              <w:rPr>
                <w:rFonts w:asciiTheme="minorEastAsia" w:hAnsiTheme="minorEastAsia" w:eastAsiaTheme="minorEastAsia"/>
                <w:b/>
                <w:color w:val="000000" w:themeColor="text1"/>
              </w:rPr>
            </w:pPr>
            <w:r>
              <w:rPr>
                <w:rFonts w:hint="eastAsia" w:eastAsia="宋体"/>
                <w:b/>
                <w:bCs/>
                <w:color w:val="000000" w:themeColor="text1"/>
                <w:sz w:val="24"/>
              </w:rPr>
              <w:t>信息计算与智能系统</w:t>
            </w:r>
            <w:r>
              <w:rPr>
                <w:rFonts w:hint="eastAsia" w:asciiTheme="minorEastAsia" w:hAnsiTheme="minorEastAsia" w:eastAsiaTheme="minorEastAsia"/>
                <w:b/>
                <w:bCs/>
                <w:color w:val="000000" w:themeColor="text1"/>
              </w:rPr>
              <w:t>专业</w:t>
            </w:r>
            <w:r>
              <w:rPr>
                <w:rFonts w:asciiTheme="minorEastAsia" w:hAnsiTheme="minorEastAsia" w:eastAsiaTheme="minorEastAsia"/>
                <w:b/>
                <w:color w:val="000000" w:themeColor="text1"/>
              </w:rPr>
              <w:t>课程设置</w:t>
            </w:r>
          </w:p>
        </w:tc>
      </w:tr>
      <w:tr w14:paraId="10B9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restart"/>
            <w:vAlign w:val="center"/>
          </w:tcPr>
          <w:p w14:paraId="0C616A6B">
            <w:pPr>
              <w:pStyle w:val="5"/>
              <w:snapToGrid w:val="0"/>
              <w:spacing w:line="360" w:lineRule="auto"/>
              <w:contextualSpacing/>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必修</w:t>
            </w:r>
            <w:r>
              <w:rPr>
                <w:rFonts w:asciiTheme="minorEastAsia" w:hAnsiTheme="minorEastAsia" w:eastAsiaTheme="minorEastAsia"/>
                <w:color w:val="000000" w:themeColor="text1"/>
                <w:sz w:val="21"/>
                <w:szCs w:val="21"/>
              </w:rPr>
              <w:t>课程</w:t>
            </w:r>
          </w:p>
        </w:tc>
        <w:tc>
          <w:tcPr>
            <w:tcW w:w="4320" w:type="dxa"/>
            <w:vAlign w:val="center"/>
          </w:tcPr>
          <w:p w14:paraId="584AAB2A">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中国特色社会主义理论与实践研究</w:t>
            </w:r>
          </w:p>
        </w:tc>
        <w:tc>
          <w:tcPr>
            <w:tcW w:w="2397" w:type="dxa"/>
            <w:vAlign w:val="center"/>
          </w:tcPr>
          <w:p w14:paraId="1FB00651">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外国语</w:t>
            </w:r>
          </w:p>
        </w:tc>
      </w:tr>
      <w:tr w14:paraId="734A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2A9B124C">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3EF316D3">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现代计算机网络</w:t>
            </w:r>
          </w:p>
        </w:tc>
        <w:tc>
          <w:tcPr>
            <w:tcW w:w="2397" w:type="dxa"/>
            <w:vAlign w:val="center"/>
          </w:tcPr>
          <w:p w14:paraId="2F6B4D35">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自然辩证法</w:t>
            </w:r>
          </w:p>
        </w:tc>
      </w:tr>
      <w:tr w14:paraId="7687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28D72CDB">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5998A59D">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软计算方法</w:t>
            </w:r>
          </w:p>
        </w:tc>
        <w:tc>
          <w:tcPr>
            <w:tcW w:w="2397" w:type="dxa"/>
            <w:vAlign w:val="center"/>
          </w:tcPr>
          <w:p w14:paraId="4B6632C7">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泛函分析</w:t>
            </w:r>
          </w:p>
        </w:tc>
      </w:tr>
      <w:tr w14:paraId="4C6B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0EB7A7AC">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4EBB45BD">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论文学术规范与写作指导</w:t>
            </w:r>
          </w:p>
        </w:tc>
        <w:tc>
          <w:tcPr>
            <w:tcW w:w="2397" w:type="dxa"/>
            <w:vAlign w:val="center"/>
          </w:tcPr>
          <w:p w14:paraId="7B59C5B2">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算法设计与分析</w:t>
            </w:r>
          </w:p>
        </w:tc>
      </w:tr>
      <w:tr w14:paraId="56B2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restart"/>
            <w:vAlign w:val="center"/>
          </w:tcPr>
          <w:p w14:paraId="5F440126">
            <w:pPr>
              <w:pStyle w:val="5"/>
              <w:snapToGrid w:val="0"/>
              <w:spacing w:line="360" w:lineRule="auto"/>
              <w:ind w:left="105" w:leftChars="50"/>
              <w:contextualSpacing/>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专业</w:t>
            </w:r>
            <w:r>
              <w:rPr>
                <w:rFonts w:asciiTheme="minorEastAsia" w:hAnsiTheme="minorEastAsia" w:eastAsiaTheme="minorEastAsia"/>
                <w:color w:val="000000" w:themeColor="text1"/>
                <w:sz w:val="21"/>
                <w:szCs w:val="21"/>
              </w:rPr>
              <w:t>选修</w:t>
            </w:r>
            <w:r>
              <w:rPr>
                <w:rFonts w:hint="eastAsia" w:asciiTheme="minorEastAsia" w:hAnsiTheme="minorEastAsia" w:eastAsiaTheme="minorEastAsia"/>
                <w:color w:val="000000" w:themeColor="text1"/>
                <w:sz w:val="21"/>
                <w:szCs w:val="21"/>
              </w:rPr>
              <w:t>课程</w:t>
            </w:r>
          </w:p>
        </w:tc>
        <w:tc>
          <w:tcPr>
            <w:tcW w:w="4320" w:type="dxa"/>
            <w:vAlign w:val="center"/>
          </w:tcPr>
          <w:p w14:paraId="2EABF711">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现代控制理论及技术</w:t>
            </w:r>
          </w:p>
        </w:tc>
        <w:tc>
          <w:tcPr>
            <w:tcW w:w="2397" w:type="dxa"/>
            <w:vAlign w:val="center"/>
          </w:tcPr>
          <w:p w14:paraId="7588E2C6">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随机控制理论</w:t>
            </w:r>
          </w:p>
        </w:tc>
      </w:tr>
      <w:tr w14:paraId="2C8D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6EE1AE71">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73DB4FD9">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cstheme="minorEastAsia"/>
                <w:color w:val="000000" w:themeColor="text1"/>
                <w:szCs w:val="21"/>
              </w:rPr>
              <w:t>非线性泛函分析</w:t>
            </w:r>
          </w:p>
        </w:tc>
        <w:tc>
          <w:tcPr>
            <w:tcW w:w="2397" w:type="dxa"/>
            <w:vAlign w:val="center"/>
          </w:tcPr>
          <w:p w14:paraId="0DC2A39A">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向量最优化理论</w:t>
            </w:r>
          </w:p>
        </w:tc>
      </w:tr>
      <w:tr w14:paraId="7E9E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6AFB84BF">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54CEB488">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变分迭代法</w:t>
            </w:r>
          </w:p>
        </w:tc>
        <w:tc>
          <w:tcPr>
            <w:tcW w:w="2397" w:type="dxa"/>
            <w:vAlign w:val="center"/>
          </w:tcPr>
          <w:p w14:paraId="00CECBB6">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微分拓扑</w:t>
            </w:r>
          </w:p>
        </w:tc>
      </w:tr>
    </w:tbl>
    <w:p w14:paraId="52753D0D">
      <w:pPr>
        <w:pStyle w:val="5"/>
        <w:snapToGrid w:val="0"/>
        <w:spacing w:line="360" w:lineRule="auto"/>
        <w:contextualSpacing/>
        <w:rPr>
          <w:rFonts w:hint="eastAsia" w:asciiTheme="minorEastAsia" w:hAnsiTheme="minorEastAsia" w:eastAsiaTheme="minorEastAsia"/>
          <w:color w:val="000000" w:themeColor="text1"/>
          <w:sz w:val="21"/>
          <w:szCs w:val="21"/>
        </w:rPr>
      </w:pPr>
    </w:p>
    <w:p w14:paraId="6BA2286A">
      <w:pPr>
        <w:pStyle w:val="5"/>
        <w:snapToGrid w:val="0"/>
        <w:spacing w:line="360" w:lineRule="auto"/>
        <w:ind w:firstLine="2520" w:firstLineChars="1200"/>
        <w:contextualSpacing/>
        <w:rPr>
          <w:b/>
          <w:bCs/>
          <w:color w:val="000000" w:themeColor="text1"/>
        </w:rPr>
      </w:pPr>
      <w:r>
        <w:rPr>
          <w:rFonts w:hint="eastAsia" w:asciiTheme="minorEastAsia" w:hAnsiTheme="minorEastAsia" w:eastAsiaTheme="minorEastAsia"/>
          <w:color w:val="000000" w:themeColor="text1"/>
          <w:sz w:val="21"/>
          <w:szCs w:val="21"/>
        </w:rPr>
        <w:t xml:space="preserve"> 注：部分课程参照实际教学</w:t>
      </w:r>
    </w:p>
    <w:p w14:paraId="5B598CCE">
      <w:pPr>
        <w:numPr>
          <w:ilvl w:val="0"/>
          <w:numId w:val="1"/>
        </w:numPr>
        <w:rPr>
          <w:rFonts w:eastAsia="宋体"/>
          <w:b/>
          <w:bCs/>
          <w:color w:val="000000" w:themeColor="text1"/>
          <w:sz w:val="24"/>
        </w:rPr>
      </w:pPr>
      <w:r>
        <w:rPr>
          <w:rFonts w:hint="eastAsia" w:eastAsia="宋体"/>
          <w:b/>
          <w:bCs/>
          <w:color w:val="000000" w:themeColor="text1"/>
          <w:sz w:val="24"/>
        </w:rPr>
        <w:t>报考条件：</w:t>
      </w:r>
    </w:p>
    <w:p w14:paraId="22B7AD82">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372E10A9">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4D169101">
      <w:pPr>
        <w:spacing w:line="360" w:lineRule="auto"/>
        <w:ind w:firstLine="480" w:firstLineChars="200"/>
        <w:rPr>
          <w:rFonts w:hint="eastAsia" w:eastAsia="宋体"/>
          <w:color w:val="000000" w:themeColor="text1"/>
          <w:sz w:val="24"/>
        </w:rPr>
      </w:pPr>
      <w:r>
        <w:rPr>
          <w:rFonts w:hint="eastAsia" w:eastAsia="宋体"/>
          <w:color w:val="000000" w:themeColor="text1"/>
          <w:sz w:val="24"/>
        </w:rPr>
        <w:t xml:space="preserve">3、具有专科学历或本科学历无学士学位者，具有两年以上工作经验，经申 请也可报读，但不能申请硕士学位。 </w:t>
      </w:r>
    </w:p>
    <w:p w14:paraId="16B03E37">
      <w:pPr>
        <w:spacing w:line="360" w:lineRule="auto"/>
        <w:ind w:firstLine="480" w:firstLineChars="200"/>
        <w:rPr>
          <w:rFonts w:eastAsia="宋体"/>
          <w:color w:val="000000" w:themeColor="text1"/>
          <w:sz w:val="24"/>
        </w:rPr>
      </w:pPr>
    </w:p>
    <w:p w14:paraId="1DBADCE1">
      <w:pPr>
        <w:numPr>
          <w:ilvl w:val="0"/>
          <w:numId w:val="1"/>
        </w:numPr>
        <w:rPr>
          <w:rFonts w:eastAsia="宋体"/>
          <w:b/>
          <w:bCs/>
          <w:color w:val="000000" w:themeColor="text1"/>
          <w:sz w:val="24"/>
        </w:rPr>
      </w:pPr>
      <w:r>
        <w:rPr>
          <w:rFonts w:hint="eastAsia" w:eastAsia="宋体"/>
          <w:b/>
          <w:bCs/>
          <w:color w:val="000000" w:themeColor="text1"/>
          <w:sz w:val="24"/>
        </w:rPr>
        <w:t>培养方式和学制：</w:t>
      </w:r>
    </w:p>
    <w:p w14:paraId="78D4C68D">
      <w:pPr>
        <w:spacing w:line="360" w:lineRule="auto"/>
        <w:ind w:firstLine="480" w:firstLineChars="200"/>
        <w:rPr>
          <w:rFonts w:hint="eastAsia" w:eastAsia="宋体"/>
          <w:color w:val="000000" w:themeColor="text1"/>
          <w:sz w:val="24"/>
        </w:rPr>
      </w:pPr>
      <w:r>
        <w:rPr>
          <w:rFonts w:hint="eastAsia" w:eastAsia="宋体"/>
          <w:color w:val="000000" w:themeColor="text1"/>
          <w:sz w:val="24"/>
        </w:rPr>
        <w:t>授课方式：线上（录播或直播）与线下讲座相结合</w:t>
      </w:r>
    </w:p>
    <w:p w14:paraId="76E51BCA">
      <w:pPr>
        <w:spacing w:line="360" w:lineRule="auto"/>
        <w:ind w:firstLine="480" w:firstLineChars="200"/>
        <w:rPr>
          <w:rFonts w:eastAsia="宋体"/>
          <w:color w:val="000000" w:themeColor="text1"/>
          <w:sz w:val="24"/>
        </w:rPr>
      </w:pPr>
      <w:r>
        <w:rPr>
          <w:rFonts w:hint="eastAsia" w:eastAsia="宋体"/>
          <w:color w:val="000000" w:themeColor="text1"/>
          <w:sz w:val="24"/>
        </w:rPr>
        <w:t>学制：1.5-2年</w:t>
      </w:r>
    </w:p>
    <w:p w14:paraId="6D9CF209">
      <w:pPr>
        <w:rPr>
          <w:rFonts w:eastAsia="宋体"/>
          <w:b/>
          <w:bCs/>
          <w:color w:val="000000" w:themeColor="text1"/>
          <w:sz w:val="24"/>
        </w:rPr>
      </w:pPr>
    </w:p>
    <w:p w14:paraId="1013DF7F">
      <w:pPr>
        <w:numPr>
          <w:ilvl w:val="0"/>
          <w:numId w:val="1"/>
        </w:numPr>
        <w:rPr>
          <w:rFonts w:eastAsia="宋体"/>
          <w:b/>
          <w:bCs/>
          <w:color w:val="000000" w:themeColor="text1"/>
          <w:sz w:val="24"/>
        </w:rPr>
      </w:pPr>
      <w:r>
        <w:rPr>
          <w:rFonts w:hint="eastAsia" w:eastAsia="宋体"/>
          <w:b/>
          <w:bCs/>
          <w:color w:val="000000" w:themeColor="text1"/>
          <w:sz w:val="24"/>
        </w:rPr>
        <w:t>报名材料：</w:t>
      </w:r>
    </w:p>
    <w:p w14:paraId="3D80C0C6">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455BD165">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589AB0BD">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3D7A72E8">
      <w:pPr>
        <w:spacing w:line="360" w:lineRule="auto"/>
        <w:ind w:firstLine="480" w:firstLineChars="200"/>
        <w:rPr>
          <w:rFonts w:eastAsia="宋体"/>
          <w:color w:val="000000" w:themeColor="text1"/>
          <w:sz w:val="24"/>
        </w:rPr>
      </w:pPr>
      <w:r>
        <w:rPr>
          <w:rFonts w:hint="eastAsia" w:eastAsia="宋体"/>
          <w:color w:val="000000" w:themeColor="text1"/>
          <w:sz w:val="24"/>
        </w:rPr>
        <w:t xml:space="preserve">4、报名时需带同一底版近期一寸免冠照片三张。    </w:t>
      </w:r>
    </w:p>
    <w:p w14:paraId="04AFCA91">
      <w:pPr>
        <w:rPr>
          <w:rFonts w:eastAsia="宋体"/>
          <w:b/>
          <w:bCs/>
          <w:color w:val="000000" w:themeColor="text1"/>
          <w:sz w:val="24"/>
        </w:rPr>
      </w:pPr>
    </w:p>
    <w:p w14:paraId="12C171FB">
      <w:pPr>
        <w:numPr>
          <w:ilvl w:val="0"/>
          <w:numId w:val="1"/>
        </w:numPr>
        <w:spacing w:line="360" w:lineRule="auto"/>
        <w:rPr>
          <w:rFonts w:eastAsia="宋体"/>
          <w:b/>
          <w:bCs/>
          <w:color w:val="000000" w:themeColor="text1"/>
          <w:sz w:val="24"/>
        </w:rPr>
      </w:pPr>
      <w:r>
        <w:rPr>
          <w:rFonts w:hint="eastAsia" w:eastAsia="宋体"/>
          <w:b/>
          <w:bCs/>
          <w:color w:val="000000" w:themeColor="text1"/>
          <w:sz w:val="24"/>
        </w:rPr>
        <w:t>报名费用：</w:t>
      </w:r>
    </w:p>
    <w:p w14:paraId="2318D3AD">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642CF00">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46BB75D2">
      <w:pPr>
        <w:rPr>
          <w:rFonts w:eastAsia="宋体"/>
          <w:b/>
          <w:bCs/>
          <w:color w:val="000000" w:themeColor="text1"/>
          <w:sz w:val="24"/>
        </w:rPr>
      </w:pPr>
    </w:p>
    <w:p w14:paraId="4CD8A902">
      <w:pPr>
        <w:numPr>
          <w:ilvl w:val="0"/>
          <w:numId w:val="1"/>
        </w:numPr>
        <w:rPr>
          <w:rFonts w:eastAsia="宋体"/>
          <w:b/>
          <w:bCs/>
          <w:color w:val="000000" w:themeColor="text1"/>
          <w:sz w:val="24"/>
        </w:rPr>
      </w:pPr>
      <w:r>
        <w:rPr>
          <w:rFonts w:hint="eastAsia" w:eastAsia="宋体"/>
          <w:b/>
          <w:bCs/>
          <w:color w:val="000000" w:themeColor="text1"/>
          <w:sz w:val="24"/>
        </w:rPr>
        <w:t>获取证书：</w:t>
      </w:r>
    </w:p>
    <w:p w14:paraId="5A59FB59">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672E99C7">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0659901C">
      <w:pPr>
        <w:rPr>
          <w:rFonts w:hint="eastAsia" w:eastAsia="宋体"/>
          <w:b/>
          <w:bCs/>
          <w:color w:val="000000" w:themeColor="text1"/>
          <w:sz w:val="24"/>
        </w:rPr>
      </w:pPr>
    </w:p>
    <w:p w14:paraId="38CA3C0E">
      <w:pPr>
        <w:rPr>
          <w:rFonts w:eastAsia="宋体"/>
          <w:color w:val="000000" w:themeColor="text1"/>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CC3E8">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1E1514"/>
    <w:rsid w:val="002342AB"/>
    <w:rsid w:val="00A1608E"/>
    <w:rsid w:val="00B528F8"/>
    <w:rsid w:val="00CE292F"/>
    <w:rsid w:val="017738CD"/>
    <w:rsid w:val="0924390F"/>
    <w:rsid w:val="101A095E"/>
    <w:rsid w:val="1B8767F8"/>
    <w:rsid w:val="2971232D"/>
    <w:rsid w:val="30941380"/>
    <w:rsid w:val="3F127968"/>
    <w:rsid w:val="4B595786"/>
    <w:rsid w:val="4F617468"/>
    <w:rsid w:val="589563D1"/>
    <w:rsid w:val="68BB4662"/>
    <w:rsid w:val="749D4202"/>
    <w:rsid w:val="786F07FB"/>
    <w:rsid w:val="796930ED"/>
    <w:rsid w:val="7FCF2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1614</Words>
  <Characters>1639</Characters>
  <Lines>14</Lines>
  <Paragraphs>3</Paragraphs>
  <TotalTime>0</TotalTime>
  <ScaleCrop>false</ScaleCrop>
  <LinksUpToDate>false</LinksUpToDate>
  <CharactersWithSpaces>1824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2026-01-16T07:51:52Z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3A549BEEB41C43CF9327547D17186348</vt:lpwstr>
  </property>
  <property fmtid="{D5CDD505-2E9C-101B-9397-08002B2CF9AE}" pid="4" name="KSOTemplateDocerSaveRecord">
    <vt:lpwstr>eyJoZGlkIjoiMjJkYmYyOGQwNjU2YTFjYjBlYWQzZDdlZjc2Nzk1ZWYifQ==</vt:lpwstr>
  </property>
</Properties>
</file>