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986A63">
      <w:pPr>
        <w:jc w:val="center"/>
        <w:rPr>
          <w:rFonts w:eastAsia="宋体"/>
          <w:color w:val="000000" w:themeColor="text1"/>
        </w:rPr>
      </w:pPr>
      <w:r>
        <w:rPr>
          <w:rFonts w:hint="eastAsia" w:eastAsia="宋体"/>
          <w:color w:val="000000" w:themeColor="text1"/>
        </w:rPr>
        <w:drawing>
          <wp:inline distT="0" distB="0" distL="114300" distR="114300">
            <wp:extent cx="3724275" cy="1316990"/>
            <wp:effectExtent l="0" t="0" r="0" b="0"/>
            <wp:docPr id="5" name="图片 5" descr="src=http_%2F%2Fn.sinaimg.cn%2Ffront%2F84%2Fw640h244%2F20190104%2FO65j-hqzxptp5109495.jpg&amp;refer=http_%2F%2Fn.sina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src=http_%2F%2Fn.sinaimg.cn%2Ffront%2F84%2Fw640h244%2F20190104%2FO65j-hqzxptp5109495.jpg&amp;refer=http_%2F%2Fn.sinaimg"/>
                    <pic:cNvPicPr>
                      <a:picLocks noChangeAspect="1"/>
                    </pic:cNvPicPr>
                  </pic:nvPicPr>
                  <pic:blipFill>
                    <a:blip r:embed="rId5" cstate="print">
                      <a:clrChange>
                        <a:clrFrom>
                          <a:srgbClr val="EDF0F9">
                            <a:alpha val="100000"/>
                          </a:srgbClr>
                        </a:clrFrom>
                        <a:clrTo>
                          <a:srgbClr val="EDF0F9">
                            <a:alpha val="100000"/>
                            <a:alpha val="0"/>
                          </a:srgbClr>
                        </a:clrTo>
                      </a:clrChange>
                    </a:blip>
                    <a:stretch>
                      <a:fillRect/>
                    </a:stretch>
                  </pic:blipFill>
                  <pic:spPr>
                    <a:xfrm>
                      <a:off x="0" y="0"/>
                      <a:ext cx="3721241" cy="1316265"/>
                    </a:xfrm>
                    <a:prstGeom prst="rect">
                      <a:avLst/>
                    </a:prstGeom>
                  </pic:spPr>
                </pic:pic>
              </a:graphicData>
            </a:graphic>
          </wp:inline>
        </w:drawing>
      </w:r>
    </w:p>
    <w:p w14:paraId="47A0A6E5">
      <w:pPr>
        <w:rPr>
          <w:rFonts w:eastAsia="宋体"/>
          <w:color w:val="000000" w:themeColor="text1"/>
        </w:rPr>
      </w:pPr>
    </w:p>
    <w:p w14:paraId="1DEEE19B">
      <w:pPr>
        <w:jc w:val="center"/>
        <w:rPr>
          <w:rFonts w:hint="eastAsia" w:eastAsia="宋体"/>
          <w:b/>
          <w:bCs/>
          <w:color w:val="000000" w:themeColor="text1"/>
          <w:sz w:val="36"/>
          <w:szCs w:val="36"/>
        </w:rPr>
      </w:pPr>
      <w:r>
        <w:rPr>
          <w:rFonts w:hint="eastAsia" w:eastAsia="宋体"/>
          <w:b/>
          <w:bCs/>
          <w:color w:val="000000" w:themeColor="text1"/>
          <w:sz w:val="36"/>
          <w:szCs w:val="36"/>
        </w:rPr>
        <w:t>湖北师范大学同等学力申请硕士学位</w:t>
      </w:r>
    </w:p>
    <w:p w14:paraId="6A9832E3">
      <w:pPr>
        <w:jc w:val="center"/>
        <w:rPr>
          <w:rFonts w:eastAsia="宋体"/>
          <w:b/>
          <w:bCs/>
          <w:color w:val="000000" w:themeColor="text1"/>
          <w:sz w:val="36"/>
          <w:szCs w:val="36"/>
        </w:rPr>
      </w:pPr>
      <w:r>
        <w:rPr>
          <w:rFonts w:hint="eastAsia" w:eastAsia="宋体"/>
          <w:b/>
          <w:bCs/>
          <w:color w:val="000000" w:themeColor="text1"/>
          <w:sz w:val="36"/>
          <w:szCs w:val="36"/>
        </w:rPr>
        <w:t>概率论与数理统计专业招生简章</w:t>
      </w:r>
    </w:p>
    <w:p w14:paraId="49A3B396">
      <w:pPr>
        <w:rPr>
          <w:rFonts w:eastAsia="宋体"/>
          <w:b/>
          <w:bCs/>
          <w:color w:val="000000" w:themeColor="text1"/>
        </w:rPr>
      </w:pPr>
    </w:p>
    <w:p w14:paraId="1C33BC88">
      <w:pPr>
        <w:numPr>
          <w:ilvl w:val="0"/>
          <w:numId w:val="1"/>
        </w:numPr>
        <w:rPr>
          <w:rFonts w:eastAsia="宋体"/>
          <w:b/>
          <w:bCs/>
          <w:color w:val="000000" w:themeColor="text1"/>
          <w:sz w:val="24"/>
        </w:rPr>
      </w:pPr>
      <w:r>
        <w:rPr>
          <w:rFonts w:hint="eastAsia" w:eastAsia="宋体"/>
          <w:b/>
          <w:bCs/>
          <w:color w:val="000000" w:themeColor="text1"/>
          <w:sz w:val="24"/>
        </w:rPr>
        <w:t>学校简介：</w:t>
      </w:r>
    </w:p>
    <w:p w14:paraId="330B9EF1">
      <w:pPr>
        <w:spacing w:line="360" w:lineRule="auto"/>
        <w:ind w:firstLine="480" w:firstLineChars="200"/>
        <w:rPr>
          <w:rFonts w:eastAsia="宋体"/>
          <w:color w:val="000000" w:themeColor="text1"/>
          <w:sz w:val="24"/>
        </w:rPr>
      </w:pPr>
      <w:r>
        <w:rPr>
          <w:rFonts w:hint="eastAsia" w:eastAsia="宋体"/>
          <w:color w:val="000000" w:themeColor="text1"/>
          <w:sz w:val="24"/>
        </w:rPr>
        <w:t>湖北师范大学是一所以教育学、文学、理学、工学为主要学科门类，以教师教育为特色，以服务基础教育为主体的省属重点本科高等师范院校，具有硕士学位授予权，是全国本科教学工作水平评估优秀学校、国家产教融合发展工程应用型本科建设高校、湖北省国内“双一流”建设高校。学校师资力量雄厚，现有专任教师1122人，教授133人，副教授350人。具有博士学位的343人，硕士学位的579人。建校47年来，共培养各类毕业生10余万人，毕业生中绝大多数扎根在湖北省基础教育第一线。学校已成为湖北省高等师范教育的骨干力量，是培养湖北省基础教育师资的重要基地。</w:t>
      </w:r>
    </w:p>
    <w:p w14:paraId="18960873">
      <w:pPr>
        <w:spacing w:line="360" w:lineRule="auto"/>
        <w:ind w:firstLine="480" w:firstLineChars="200"/>
        <w:rPr>
          <w:rFonts w:hint="eastAsia" w:eastAsia="宋体"/>
          <w:color w:val="000000" w:themeColor="text1"/>
          <w:sz w:val="24"/>
        </w:rPr>
      </w:pPr>
      <w:r>
        <w:rPr>
          <w:rFonts w:hint="eastAsia" w:eastAsia="宋体"/>
          <w:color w:val="000000" w:themeColor="text1"/>
          <w:sz w:val="24"/>
        </w:rPr>
        <w:t>概率论与数理统计是研究随机现象内在规律性的学科。概率论旨在从理论上研究随机现象的数量规律，是数理统计的基础。数理统计是从数学角度研究如何有效地收集、分析和使用随机性数据的学科，为概率论的实际应用提供了广阔的天地。概率论和数理统计相互推动，借助计算机技术，正在科学技术、工农业生产、经济金融、人口健康、环境保护等方面发挥重要的作用。概率统计思想渗入各个学科已成为近代科学发展的明显特征之一。</w:t>
      </w:r>
    </w:p>
    <w:p w14:paraId="0078C66D">
      <w:pPr>
        <w:spacing w:line="360" w:lineRule="auto"/>
        <w:ind w:firstLine="480" w:firstLineChars="200"/>
        <w:rPr>
          <w:rFonts w:eastAsia="宋体"/>
          <w:color w:val="000000" w:themeColor="text1"/>
          <w:sz w:val="24"/>
        </w:rPr>
      </w:pPr>
    </w:p>
    <w:p w14:paraId="097ABA95">
      <w:pPr>
        <w:numPr>
          <w:ilvl w:val="0"/>
          <w:numId w:val="1"/>
        </w:numPr>
        <w:rPr>
          <w:rFonts w:eastAsia="宋体"/>
          <w:b/>
          <w:bCs/>
          <w:color w:val="000000" w:themeColor="text1"/>
          <w:sz w:val="24"/>
        </w:rPr>
      </w:pPr>
      <w:r>
        <w:rPr>
          <w:rFonts w:hint="eastAsia" w:eastAsia="宋体"/>
          <w:b/>
          <w:bCs/>
          <w:color w:val="000000" w:themeColor="text1"/>
          <w:sz w:val="24"/>
        </w:rPr>
        <w:t>培养目标：</w:t>
      </w:r>
    </w:p>
    <w:p w14:paraId="12F7551F">
      <w:pPr>
        <w:pStyle w:val="5"/>
        <w:shd w:val="clear" w:color="auto" w:fill="FFFFFF"/>
        <w:spacing w:before="0" w:beforeAutospacing="0" w:after="0" w:afterAutospacing="0" w:line="525" w:lineRule="atLeast"/>
        <w:ind w:firstLine="420"/>
        <w:rPr>
          <w:color w:val="000000" w:themeColor="text1"/>
        </w:rPr>
      </w:pPr>
      <w:r>
        <w:rPr>
          <w:rFonts w:hint="eastAsia"/>
          <w:color w:val="000000" w:themeColor="text1"/>
        </w:rPr>
        <w:t>本专业主要通过学习和掌握数学理论基础，能够运用所掌握的基础理论与专门知识解决科学研究或实际工作中的问题，掌握一门外国语，并且在概率统计的某个方向上掌握较系统的专门理论知识、技术与方法，向社会培养具有较强的事业心、创新能力和献身科学的精神，积极为社会各项建设事业服务的专业人才，可在在企事业单位和政府管理部门从事调查设计、统计分析与预测、管理、信息处理、计算机软件、产品设计与改进；也可在高校、科研部门从事教学、科研、统计分析、决策和计算机管理等工作的高端人才。</w:t>
      </w:r>
    </w:p>
    <w:p w14:paraId="477C70DB">
      <w:pPr>
        <w:rPr>
          <w:rFonts w:eastAsia="宋体"/>
          <w:b/>
          <w:bCs/>
          <w:color w:val="000000" w:themeColor="text1"/>
          <w:sz w:val="24"/>
        </w:rPr>
      </w:pPr>
    </w:p>
    <w:p w14:paraId="6D41106C">
      <w:pPr>
        <w:rPr>
          <w:rFonts w:eastAsia="宋体"/>
          <w:b/>
          <w:bCs/>
          <w:color w:val="000000" w:themeColor="text1"/>
          <w:sz w:val="24"/>
        </w:rPr>
      </w:pPr>
    </w:p>
    <w:p w14:paraId="6D8D233E">
      <w:pPr>
        <w:numPr>
          <w:ilvl w:val="0"/>
          <w:numId w:val="1"/>
        </w:numPr>
        <w:rPr>
          <w:rFonts w:eastAsia="宋体"/>
          <w:b/>
          <w:bCs/>
          <w:color w:val="000000" w:themeColor="text1"/>
          <w:sz w:val="24"/>
        </w:rPr>
      </w:pPr>
      <w:r>
        <w:rPr>
          <w:rFonts w:hint="eastAsia" w:eastAsia="宋体"/>
          <w:b/>
          <w:bCs/>
          <w:color w:val="000000" w:themeColor="text1"/>
          <w:sz w:val="24"/>
        </w:rPr>
        <w:t>培养优势：</w:t>
      </w:r>
    </w:p>
    <w:p w14:paraId="604DB574">
      <w:pPr>
        <w:spacing w:line="360" w:lineRule="auto"/>
        <w:ind w:firstLine="480" w:firstLineChars="200"/>
        <w:rPr>
          <w:rFonts w:hint="eastAsia" w:ascii="宋体" w:hAnsi="宋体" w:eastAsia="宋体" w:cs="Times New Roman"/>
          <w:color w:val="000000" w:themeColor="text1"/>
          <w:sz w:val="24"/>
        </w:rPr>
      </w:pPr>
      <w:r>
        <w:rPr>
          <w:rFonts w:hint="eastAsia" w:ascii="宋体" w:hAnsi="宋体"/>
          <w:color w:val="000000" w:themeColor="text1"/>
          <w:sz w:val="24"/>
        </w:rPr>
        <w:t>1、</w:t>
      </w:r>
      <w:r>
        <w:rPr>
          <w:rFonts w:hint="eastAsia" w:ascii="宋体" w:hAnsi="宋体" w:eastAsia="宋体" w:cs="Times New Roman"/>
          <w:color w:val="000000" w:themeColor="text1"/>
          <w:sz w:val="24"/>
        </w:rPr>
        <w:t>【免试入学，在职学习】学员满足入学条件可免试入学，在职学习提升能力，工作学习两不误；</w:t>
      </w:r>
    </w:p>
    <w:p w14:paraId="79B8F0BB">
      <w:pPr>
        <w:spacing w:line="360" w:lineRule="auto"/>
        <w:ind w:firstLine="480" w:firstLineChars="200"/>
        <w:rPr>
          <w:rFonts w:hint="eastAsia" w:ascii="宋体" w:hAnsi="宋体" w:eastAsia="宋体" w:cs="Times New Roman"/>
          <w:color w:val="000000" w:themeColor="text1"/>
          <w:sz w:val="24"/>
        </w:rPr>
      </w:pPr>
      <w:r>
        <w:rPr>
          <w:rFonts w:hint="eastAsia" w:ascii="宋体" w:hAnsi="宋体"/>
          <w:color w:val="000000" w:themeColor="text1"/>
          <w:sz w:val="24"/>
        </w:rPr>
        <w:t>2、</w:t>
      </w:r>
      <w:r>
        <w:rPr>
          <w:rFonts w:hint="eastAsia" w:ascii="宋体" w:hAnsi="宋体" w:eastAsia="宋体" w:cs="Times New Roman"/>
          <w:color w:val="000000" w:themeColor="text1"/>
          <w:sz w:val="24"/>
        </w:rPr>
        <w:t>【师资雄厚】学科专业选用有丰富教学经验的师资授课，浓缩课程精华，提高申硕率；</w:t>
      </w:r>
    </w:p>
    <w:p w14:paraId="104E2C3F">
      <w:pPr>
        <w:spacing w:line="360" w:lineRule="auto"/>
        <w:ind w:firstLine="480" w:firstLineChars="200"/>
        <w:rPr>
          <w:rFonts w:ascii="宋体" w:hAnsi="宋体" w:eastAsia="宋体" w:cs="Times New Roman"/>
          <w:color w:val="000000" w:themeColor="text1"/>
          <w:sz w:val="24"/>
        </w:rPr>
      </w:pPr>
      <w:r>
        <w:rPr>
          <w:rFonts w:hint="eastAsia" w:ascii="宋体" w:hAnsi="宋体"/>
          <w:color w:val="000000" w:themeColor="text1"/>
          <w:sz w:val="24"/>
        </w:rPr>
        <w:t>3、</w:t>
      </w:r>
      <w:r>
        <w:rPr>
          <w:rFonts w:hint="eastAsia" w:ascii="宋体" w:hAnsi="宋体" w:eastAsia="宋体" w:cs="Times New Roman"/>
          <w:color w:val="000000" w:themeColor="text1"/>
          <w:sz w:val="24"/>
        </w:rPr>
        <w:t>【申硕科目少】学员满足申硕条件参加全国统一同等学力申请硕士学位考试，仅考外语1科目</w:t>
      </w:r>
      <w:r>
        <w:rPr>
          <w:rFonts w:hint="eastAsia" w:ascii="宋体" w:hAnsi="宋体"/>
          <w:color w:val="000000" w:themeColor="text1"/>
          <w:sz w:val="24"/>
        </w:rPr>
        <w:t>，百分制六十分及格</w:t>
      </w:r>
      <w:r>
        <w:rPr>
          <w:rFonts w:hint="eastAsia" w:ascii="宋体" w:hAnsi="宋体" w:eastAsia="宋体" w:cs="Times New Roman"/>
          <w:color w:val="000000" w:themeColor="text1"/>
          <w:sz w:val="24"/>
        </w:rPr>
        <w:t>难度较低；</w:t>
      </w:r>
    </w:p>
    <w:p w14:paraId="19A83E68">
      <w:pPr>
        <w:spacing w:line="360" w:lineRule="auto"/>
        <w:ind w:firstLine="480" w:firstLineChars="200"/>
        <w:rPr>
          <w:rFonts w:hint="eastAsia" w:ascii="宋体" w:hAnsi="宋体" w:eastAsia="宋体" w:cs="Times New Roman"/>
          <w:color w:val="000000" w:themeColor="text1"/>
          <w:sz w:val="24"/>
        </w:rPr>
      </w:pPr>
      <w:r>
        <w:rPr>
          <w:rFonts w:hint="eastAsia" w:ascii="宋体" w:hAnsi="宋体"/>
          <w:color w:val="000000" w:themeColor="text1"/>
          <w:sz w:val="24"/>
        </w:rPr>
        <w:t>4、</w:t>
      </w:r>
      <w:r>
        <w:rPr>
          <w:rFonts w:hint="eastAsia" w:ascii="宋体" w:hAnsi="宋体" w:eastAsia="宋体" w:cs="Times New Roman"/>
          <w:color w:val="000000" w:themeColor="text1"/>
          <w:sz w:val="24"/>
        </w:rPr>
        <w:t>【</w:t>
      </w:r>
      <w:r>
        <w:rPr>
          <w:rFonts w:ascii="宋体" w:hAnsi="宋体" w:eastAsia="宋体" w:cs="Times New Roman"/>
          <w:color w:val="000000" w:themeColor="text1"/>
          <w:sz w:val="24"/>
        </w:rPr>
        <w:t>学习方式</w:t>
      </w:r>
      <w:r>
        <w:rPr>
          <w:rFonts w:hint="eastAsia" w:ascii="宋体" w:hAnsi="宋体" w:eastAsia="宋体" w:cs="Times New Roman"/>
          <w:color w:val="000000" w:themeColor="text1"/>
          <w:sz w:val="24"/>
        </w:rPr>
        <w:t>灵活】本专业</w:t>
      </w:r>
      <w:r>
        <w:rPr>
          <w:rFonts w:ascii="宋体" w:hAnsi="宋体" w:eastAsia="宋体" w:cs="Times New Roman"/>
          <w:color w:val="000000" w:themeColor="text1"/>
          <w:sz w:val="24"/>
        </w:rPr>
        <w:t>设</w:t>
      </w:r>
      <w:r>
        <w:rPr>
          <w:rFonts w:hint="eastAsia" w:eastAsia="宋体"/>
          <w:color w:val="000000" w:themeColor="text1"/>
          <w:sz w:val="24"/>
        </w:rPr>
        <w:t>线上（录播或直播）与线下讲座相结合</w:t>
      </w:r>
      <w:r>
        <w:rPr>
          <w:rFonts w:ascii="宋体" w:hAnsi="宋体" w:eastAsia="宋体" w:cs="Times New Roman"/>
          <w:color w:val="000000" w:themeColor="text1"/>
          <w:sz w:val="24"/>
        </w:rPr>
        <w:t>，学员不受时间、地域限制随时可学习，方便灵活</w:t>
      </w:r>
      <w:r>
        <w:rPr>
          <w:rFonts w:hint="eastAsia" w:ascii="宋体" w:hAnsi="宋体" w:eastAsia="宋体" w:cs="Times New Roman"/>
          <w:color w:val="000000" w:themeColor="text1"/>
          <w:sz w:val="24"/>
        </w:rPr>
        <w:t>；</w:t>
      </w:r>
    </w:p>
    <w:p w14:paraId="0BF5E979">
      <w:pPr>
        <w:spacing w:line="360" w:lineRule="auto"/>
        <w:ind w:firstLine="480" w:firstLineChars="200"/>
        <w:rPr>
          <w:rFonts w:ascii="宋体" w:hAnsi="宋体" w:eastAsia="宋体" w:cs="Times New Roman"/>
          <w:color w:val="000000" w:themeColor="text1"/>
          <w:sz w:val="24"/>
        </w:rPr>
      </w:pPr>
      <w:r>
        <w:rPr>
          <w:rFonts w:hint="eastAsia" w:ascii="宋体" w:hAnsi="宋体"/>
          <w:color w:val="000000" w:themeColor="text1"/>
          <w:sz w:val="24"/>
        </w:rPr>
        <w:t>5、</w:t>
      </w:r>
      <w:r>
        <w:rPr>
          <w:rFonts w:ascii="宋体" w:hAnsi="宋体" w:eastAsia="宋体" w:cs="Times New Roman"/>
          <w:color w:val="000000" w:themeColor="text1"/>
          <w:sz w:val="24"/>
        </w:rPr>
        <w:t>【可获名校证书】拟申请硕士学位的同等学力人员具备条件后，经学校学位评定委员会批准，授予</w:t>
      </w:r>
      <w:r>
        <w:rPr>
          <w:rFonts w:ascii="宋体" w:hAnsi="宋体"/>
          <w:color w:val="000000" w:themeColor="text1"/>
          <w:sz w:val="24"/>
        </w:rPr>
        <w:t>湖北师范大学</w:t>
      </w:r>
      <w:r>
        <w:rPr>
          <w:rFonts w:ascii="宋体" w:hAnsi="宋体" w:eastAsia="宋体" w:cs="Times New Roman"/>
          <w:color w:val="000000" w:themeColor="text1"/>
          <w:sz w:val="24"/>
        </w:rPr>
        <w:t>硕士学位证书</w:t>
      </w:r>
      <w:r>
        <w:rPr>
          <w:rFonts w:hint="eastAsia" w:ascii="宋体" w:hAnsi="宋体" w:eastAsia="宋体" w:cs="Times New Roman"/>
          <w:color w:val="000000" w:themeColor="text1"/>
          <w:sz w:val="24"/>
        </w:rPr>
        <w:t>；</w:t>
      </w:r>
    </w:p>
    <w:p w14:paraId="0E60837D">
      <w:pPr>
        <w:spacing w:line="360" w:lineRule="auto"/>
        <w:ind w:firstLine="480" w:firstLineChars="200"/>
        <w:rPr>
          <w:rFonts w:hint="eastAsia" w:ascii="宋体" w:hAnsi="宋体" w:eastAsia="宋体" w:cs="Times New Roman"/>
          <w:color w:val="000000" w:themeColor="text1"/>
          <w:sz w:val="24"/>
        </w:rPr>
      </w:pPr>
      <w:r>
        <w:rPr>
          <w:rFonts w:hint="eastAsia" w:ascii="宋体" w:hAnsi="宋体"/>
          <w:color w:val="000000" w:themeColor="text1"/>
          <w:sz w:val="24"/>
        </w:rPr>
        <w:t>6、</w:t>
      </w:r>
      <w:r>
        <w:rPr>
          <w:rFonts w:hint="eastAsia" w:ascii="宋体" w:hAnsi="宋体" w:eastAsia="宋体" w:cs="Times New Roman"/>
          <w:color w:val="000000" w:themeColor="text1"/>
          <w:sz w:val="24"/>
        </w:rPr>
        <w:t>【学知识结人脉】学习期间不定期举行课外活动，学知识结高端校友人脉。</w:t>
      </w:r>
    </w:p>
    <w:p w14:paraId="4F7CBB56">
      <w:pPr>
        <w:spacing w:line="360" w:lineRule="auto"/>
        <w:rPr>
          <w:rFonts w:eastAsia="宋体"/>
          <w:color w:val="000000" w:themeColor="text1"/>
          <w:sz w:val="24"/>
        </w:rPr>
      </w:pPr>
    </w:p>
    <w:p w14:paraId="1D1FCDB6">
      <w:pPr>
        <w:numPr>
          <w:ilvl w:val="0"/>
          <w:numId w:val="1"/>
        </w:numPr>
        <w:rPr>
          <w:rFonts w:hint="eastAsia" w:eastAsia="宋体"/>
          <w:b/>
          <w:bCs/>
          <w:color w:val="000000" w:themeColor="text1"/>
          <w:sz w:val="24"/>
        </w:rPr>
      </w:pPr>
      <w:r>
        <w:rPr>
          <w:rFonts w:hint="eastAsia" w:eastAsia="宋体"/>
          <w:b/>
          <w:bCs/>
          <w:color w:val="000000" w:themeColor="text1"/>
          <w:sz w:val="24"/>
        </w:rPr>
        <w:t>课程设置：</w:t>
      </w:r>
    </w:p>
    <w:p w14:paraId="6555B593">
      <w:pPr>
        <w:rPr>
          <w:rFonts w:eastAsia="宋体"/>
          <w:b/>
          <w:bCs/>
          <w:color w:val="000000" w:themeColor="text1"/>
          <w:sz w:val="24"/>
        </w:rPr>
      </w:pPr>
    </w:p>
    <w:tbl>
      <w:tblPr>
        <w:tblStyle w:val="7"/>
        <w:tblW w:w="85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4"/>
        <w:gridCol w:w="4320"/>
        <w:gridCol w:w="2397"/>
      </w:tblGrid>
      <w:tr w14:paraId="71448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31" w:type="dxa"/>
            <w:gridSpan w:val="3"/>
            <w:vAlign w:val="center"/>
          </w:tcPr>
          <w:p w14:paraId="72B8846E">
            <w:pPr>
              <w:pStyle w:val="5"/>
              <w:snapToGrid w:val="0"/>
              <w:spacing w:line="360" w:lineRule="auto"/>
              <w:contextualSpacing/>
              <w:jc w:val="center"/>
              <w:rPr>
                <w:rFonts w:asciiTheme="minorEastAsia" w:hAnsiTheme="minorEastAsia" w:eastAsiaTheme="minorEastAsia"/>
                <w:b/>
                <w:color w:val="000000" w:themeColor="text1"/>
              </w:rPr>
            </w:pPr>
            <w:r>
              <w:rPr>
                <w:rFonts w:hint="eastAsia" w:asciiTheme="minorEastAsia" w:hAnsiTheme="minorEastAsia" w:eastAsiaTheme="minorEastAsia"/>
                <w:b/>
                <w:color w:val="000000" w:themeColor="text1"/>
                <w:lang w:val="en-US" w:eastAsia="zh-CN"/>
              </w:rPr>
              <w:t>概率论与数理统计</w:t>
            </w:r>
            <w:r>
              <w:rPr>
                <w:rFonts w:hint="eastAsia" w:asciiTheme="minorEastAsia" w:hAnsiTheme="minorEastAsia" w:eastAsiaTheme="minorEastAsia"/>
                <w:b/>
                <w:color w:val="000000" w:themeColor="text1"/>
              </w:rPr>
              <w:t>专业</w:t>
            </w:r>
          </w:p>
        </w:tc>
      </w:tr>
      <w:tr w14:paraId="48969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14" w:type="dxa"/>
            <w:vMerge w:val="restart"/>
            <w:vAlign w:val="center"/>
          </w:tcPr>
          <w:p w14:paraId="757AE9B4">
            <w:pPr>
              <w:pStyle w:val="5"/>
              <w:snapToGrid w:val="0"/>
              <w:spacing w:line="360" w:lineRule="auto"/>
              <w:contextualSpacing/>
              <w:jc w:val="center"/>
              <w:rPr>
                <w:rFonts w:asciiTheme="minorEastAsia" w:hAnsiTheme="minorEastAsia" w:eastAsiaTheme="minorEastAsia"/>
                <w:color w:val="000000" w:themeColor="text1"/>
                <w:sz w:val="21"/>
                <w:szCs w:val="21"/>
              </w:rPr>
            </w:pPr>
            <w:r>
              <w:rPr>
                <w:rFonts w:hint="eastAsia" w:asciiTheme="minorEastAsia" w:hAnsiTheme="minorEastAsia" w:eastAsiaTheme="minorEastAsia"/>
                <w:color w:val="000000" w:themeColor="text1"/>
                <w:sz w:val="21"/>
                <w:szCs w:val="21"/>
              </w:rPr>
              <w:t>必修</w:t>
            </w:r>
            <w:r>
              <w:rPr>
                <w:rFonts w:asciiTheme="minorEastAsia" w:hAnsiTheme="minorEastAsia" w:eastAsiaTheme="minorEastAsia"/>
                <w:color w:val="000000" w:themeColor="text1"/>
                <w:sz w:val="21"/>
                <w:szCs w:val="21"/>
              </w:rPr>
              <w:t>课程</w:t>
            </w:r>
          </w:p>
        </w:tc>
        <w:tc>
          <w:tcPr>
            <w:tcW w:w="4320" w:type="dxa"/>
            <w:vAlign w:val="center"/>
          </w:tcPr>
          <w:p w14:paraId="750FAE4E">
            <w:pPr>
              <w:pStyle w:val="5"/>
              <w:snapToGrid w:val="0"/>
              <w:spacing w:line="360" w:lineRule="auto"/>
              <w:contextualSpacing/>
              <w:jc w:val="center"/>
              <w:rPr>
                <w:rFonts w:hint="eastAsia" w:asciiTheme="minorEastAsia" w:hAnsiTheme="minorEastAsia" w:eastAsiaTheme="minorEastAsia" w:cstheme="minorEastAsia"/>
                <w:color w:val="000000" w:themeColor="text1"/>
                <w:sz w:val="21"/>
                <w:szCs w:val="21"/>
              </w:rPr>
            </w:pPr>
            <w:r>
              <w:rPr>
                <w:rFonts w:hint="eastAsia" w:asciiTheme="minorEastAsia" w:hAnsiTheme="minorEastAsia" w:eastAsiaTheme="minorEastAsia" w:cstheme="minorEastAsia"/>
                <w:color w:val="000000" w:themeColor="text1"/>
                <w:sz w:val="21"/>
                <w:szCs w:val="21"/>
              </w:rPr>
              <w:t>中国特色社会主义理论与实践研究</w:t>
            </w:r>
          </w:p>
        </w:tc>
        <w:tc>
          <w:tcPr>
            <w:tcW w:w="2397" w:type="dxa"/>
            <w:vAlign w:val="center"/>
          </w:tcPr>
          <w:p w14:paraId="2CF890F8">
            <w:pPr>
              <w:pStyle w:val="5"/>
              <w:snapToGrid w:val="0"/>
              <w:spacing w:line="360" w:lineRule="auto"/>
              <w:contextualSpacing/>
              <w:jc w:val="center"/>
              <w:rPr>
                <w:rFonts w:hint="eastAsia" w:asciiTheme="minorEastAsia" w:hAnsiTheme="minorEastAsia" w:eastAsiaTheme="minorEastAsia" w:cstheme="minorEastAsia"/>
                <w:color w:val="000000" w:themeColor="text1"/>
                <w:sz w:val="21"/>
                <w:szCs w:val="21"/>
              </w:rPr>
            </w:pPr>
            <w:r>
              <w:rPr>
                <w:rFonts w:hint="eastAsia" w:asciiTheme="minorEastAsia" w:hAnsiTheme="minorEastAsia" w:eastAsiaTheme="minorEastAsia" w:cstheme="minorEastAsia"/>
                <w:color w:val="000000" w:themeColor="text1"/>
                <w:sz w:val="21"/>
                <w:szCs w:val="21"/>
              </w:rPr>
              <w:t>外国语</w:t>
            </w:r>
          </w:p>
        </w:tc>
      </w:tr>
      <w:tr w14:paraId="71B89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14" w:type="dxa"/>
            <w:vMerge w:val="continue"/>
            <w:vAlign w:val="center"/>
          </w:tcPr>
          <w:p w14:paraId="147A72D4">
            <w:pPr>
              <w:pStyle w:val="5"/>
              <w:snapToGrid w:val="0"/>
              <w:spacing w:line="360" w:lineRule="auto"/>
              <w:contextualSpacing/>
              <w:jc w:val="center"/>
              <w:rPr>
                <w:rFonts w:asciiTheme="minorEastAsia" w:hAnsiTheme="minorEastAsia" w:eastAsiaTheme="minorEastAsia"/>
                <w:color w:val="000000" w:themeColor="text1"/>
                <w:sz w:val="21"/>
                <w:szCs w:val="21"/>
              </w:rPr>
            </w:pPr>
          </w:p>
        </w:tc>
        <w:tc>
          <w:tcPr>
            <w:tcW w:w="4320" w:type="dxa"/>
            <w:vAlign w:val="center"/>
          </w:tcPr>
          <w:p w14:paraId="3E88F45E">
            <w:pPr>
              <w:pStyle w:val="5"/>
              <w:snapToGrid w:val="0"/>
              <w:spacing w:line="360" w:lineRule="auto"/>
              <w:contextualSpacing/>
              <w:jc w:val="center"/>
              <w:rPr>
                <w:rFonts w:hint="eastAsia" w:asciiTheme="minorEastAsia" w:hAnsiTheme="minorEastAsia" w:eastAsiaTheme="minorEastAsia" w:cstheme="minorEastAsia"/>
                <w:color w:val="000000" w:themeColor="text1"/>
                <w:sz w:val="21"/>
                <w:szCs w:val="21"/>
              </w:rPr>
            </w:pPr>
            <w:r>
              <w:rPr>
                <w:rFonts w:hint="eastAsia" w:asciiTheme="minorEastAsia" w:hAnsiTheme="minorEastAsia" w:eastAsiaTheme="minorEastAsia" w:cstheme="minorEastAsia"/>
                <w:color w:val="000000" w:themeColor="text1"/>
                <w:sz w:val="21"/>
                <w:szCs w:val="21"/>
              </w:rPr>
              <w:t>现代计算机网络</w:t>
            </w:r>
          </w:p>
        </w:tc>
        <w:tc>
          <w:tcPr>
            <w:tcW w:w="2397" w:type="dxa"/>
            <w:vAlign w:val="center"/>
          </w:tcPr>
          <w:p w14:paraId="4B92821A">
            <w:pPr>
              <w:pStyle w:val="5"/>
              <w:snapToGrid w:val="0"/>
              <w:spacing w:line="360" w:lineRule="auto"/>
              <w:contextualSpacing/>
              <w:jc w:val="center"/>
              <w:rPr>
                <w:rFonts w:hint="eastAsia" w:asciiTheme="minorEastAsia" w:hAnsiTheme="minorEastAsia" w:eastAsiaTheme="minorEastAsia" w:cstheme="minorEastAsia"/>
                <w:color w:val="000000" w:themeColor="text1"/>
                <w:sz w:val="21"/>
                <w:szCs w:val="21"/>
              </w:rPr>
            </w:pPr>
            <w:r>
              <w:rPr>
                <w:rFonts w:hint="eastAsia" w:asciiTheme="minorEastAsia" w:hAnsiTheme="minorEastAsia" w:eastAsiaTheme="minorEastAsia" w:cstheme="minorEastAsia"/>
                <w:color w:val="000000" w:themeColor="text1"/>
                <w:sz w:val="21"/>
                <w:szCs w:val="21"/>
              </w:rPr>
              <w:t>自然辩证法</w:t>
            </w:r>
          </w:p>
        </w:tc>
      </w:tr>
      <w:tr w14:paraId="472AC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14" w:type="dxa"/>
            <w:vMerge w:val="continue"/>
            <w:vAlign w:val="center"/>
          </w:tcPr>
          <w:p w14:paraId="30F84651">
            <w:pPr>
              <w:pStyle w:val="5"/>
              <w:snapToGrid w:val="0"/>
              <w:spacing w:line="360" w:lineRule="auto"/>
              <w:contextualSpacing/>
              <w:jc w:val="center"/>
              <w:rPr>
                <w:rFonts w:asciiTheme="minorEastAsia" w:hAnsiTheme="minorEastAsia" w:eastAsiaTheme="minorEastAsia"/>
                <w:color w:val="000000" w:themeColor="text1"/>
                <w:sz w:val="21"/>
                <w:szCs w:val="21"/>
              </w:rPr>
            </w:pPr>
          </w:p>
        </w:tc>
        <w:tc>
          <w:tcPr>
            <w:tcW w:w="4320" w:type="dxa"/>
            <w:vAlign w:val="center"/>
          </w:tcPr>
          <w:p w14:paraId="62CE404C">
            <w:pPr>
              <w:pStyle w:val="5"/>
              <w:snapToGrid w:val="0"/>
              <w:spacing w:line="360" w:lineRule="auto"/>
              <w:contextualSpacing/>
              <w:jc w:val="center"/>
              <w:rPr>
                <w:rFonts w:hint="eastAsia" w:asciiTheme="minorEastAsia" w:hAnsiTheme="minorEastAsia" w:eastAsiaTheme="minorEastAsia" w:cstheme="minorEastAsia"/>
                <w:color w:val="000000" w:themeColor="text1"/>
                <w:sz w:val="21"/>
                <w:szCs w:val="21"/>
              </w:rPr>
            </w:pPr>
            <w:r>
              <w:rPr>
                <w:rFonts w:hint="eastAsia" w:asciiTheme="minorEastAsia" w:hAnsiTheme="minorEastAsia" w:eastAsiaTheme="minorEastAsia" w:cstheme="minorEastAsia"/>
                <w:color w:val="000000" w:themeColor="text1"/>
                <w:sz w:val="21"/>
                <w:szCs w:val="21"/>
              </w:rPr>
              <w:t>软计算方法</w:t>
            </w:r>
          </w:p>
        </w:tc>
        <w:tc>
          <w:tcPr>
            <w:tcW w:w="2397" w:type="dxa"/>
            <w:vAlign w:val="center"/>
          </w:tcPr>
          <w:p w14:paraId="3C5A455E">
            <w:pPr>
              <w:pStyle w:val="5"/>
              <w:snapToGrid w:val="0"/>
              <w:spacing w:line="360" w:lineRule="auto"/>
              <w:contextualSpacing/>
              <w:jc w:val="center"/>
              <w:rPr>
                <w:rFonts w:hint="eastAsia" w:asciiTheme="minorEastAsia" w:hAnsiTheme="minorEastAsia" w:eastAsiaTheme="minorEastAsia" w:cstheme="minorEastAsia"/>
                <w:color w:val="000000" w:themeColor="text1"/>
                <w:sz w:val="21"/>
                <w:szCs w:val="21"/>
              </w:rPr>
            </w:pPr>
            <w:r>
              <w:rPr>
                <w:rFonts w:hint="eastAsia" w:asciiTheme="minorEastAsia" w:hAnsiTheme="minorEastAsia" w:eastAsiaTheme="minorEastAsia" w:cstheme="minorEastAsia"/>
                <w:color w:val="000000" w:themeColor="text1"/>
                <w:sz w:val="21"/>
                <w:szCs w:val="21"/>
              </w:rPr>
              <w:t>泛函分析</w:t>
            </w:r>
          </w:p>
        </w:tc>
      </w:tr>
      <w:tr w14:paraId="585BB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14" w:type="dxa"/>
            <w:vMerge w:val="continue"/>
            <w:vAlign w:val="center"/>
          </w:tcPr>
          <w:p w14:paraId="45380346">
            <w:pPr>
              <w:pStyle w:val="5"/>
              <w:snapToGrid w:val="0"/>
              <w:spacing w:line="360" w:lineRule="auto"/>
              <w:contextualSpacing/>
              <w:jc w:val="center"/>
              <w:rPr>
                <w:rFonts w:asciiTheme="minorEastAsia" w:hAnsiTheme="minorEastAsia" w:eastAsiaTheme="minorEastAsia"/>
                <w:color w:val="000000" w:themeColor="text1"/>
                <w:sz w:val="21"/>
                <w:szCs w:val="21"/>
              </w:rPr>
            </w:pPr>
          </w:p>
        </w:tc>
        <w:tc>
          <w:tcPr>
            <w:tcW w:w="4320" w:type="dxa"/>
            <w:vAlign w:val="center"/>
          </w:tcPr>
          <w:p w14:paraId="568481E0">
            <w:pPr>
              <w:pStyle w:val="5"/>
              <w:snapToGrid w:val="0"/>
              <w:spacing w:line="360" w:lineRule="auto"/>
              <w:contextualSpacing/>
              <w:jc w:val="center"/>
              <w:rPr>
                <w:rFonts w:hint="eastAsia" w:asciiTheme="minorEastAsia" w:hAnsiTheme="minorEastAsia" w:eastAsiaTheme="minorEastAsia" w:cstheme="minorEastAsia"/>
                <w:color w:val="000000" w:themeColor="text1"/>
                <w:sz w:val="21"/>
                <w:szCs w:val="21"/>
              </w:rPr>
            </w:pPr>
            <w:r>
              <w:rPr>
                <w:rFonts w:hint="eastAsia" w:asciiTheme="minorEastAsia" w:hAnsiTheme="minorEastAsia" w:eastAsiaTheme="minorEastAsia" w:cstheme="minorEastAsia"/>
                <w:color w:val="000000" w:themeColor="text1"/>
                <w:sz w:val="21"/>
                <w:szCs w:val="21"/>
              </w:rPr>
              <w:t>论文学术规范与写作指导</w:t>
            </w:r>
          </w:p>
        </w:tc>
        <w:tc>
          <w:tcPr>
            <w:tcW w:w="2397" w:type="dxa"/>
            <w:vAlign w:val="center"/>
          </w:tcPr>
          <w:p w14:paraId="5AA97961">
            <w:pPr>
              <w:pStyle w:val="5"/>
              <w:snapToGrid w:val="0"/>
              <w:spacing w:line="360" w:lineRule="auto"/>
              <w:contextualSpacing/>
              <w:jc w:val="center"/>
              <w:rPr>
                <w:rFonts w:hint="eastAsia" w:asciiTheme="minorEastAsia" w:hAnsiTheme="minorEastAsia" w:eastAsiaTheme="minorEastAsia" w:cstheme="minorEastAsia"/>
                <w:color w:val="000000" w:themeColor="text1"/>
                <w:sz w:val="21"/>
                <w:szCs w:val="21"/>
              </w:rPr>
            </w:pPr>
            <w:r>
              <w:rPr>
                <w:rFonts w:hint="eastAsia" w:asciiTheme="minorEastAsia" w:hAnsiTheme="minorEastAsia" w:eastAsiaTheme="minorEastAsia" w:cstheme="minorEastAsia"/>
                <w:color w:val="000000" w:themeColor="text1"/>
                <w:sz w:val="21"/>
                <w:szCs w:val="21"/>
              </w:rPr>
              <w:t>算法设计与分析</w:t>
            </w:r>
          </w:p>
        </w:tc>
      </w:tr>
      <w:tr w14:paraId="43ACF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14" w:type="dxa"/>
            <w:vMerge w:val="restart"/>
            <w:vAlign w:val="center"/>
          </w:tcPr>
          <w:p w14:paraId="10DC8EFF">
            <w:pPr>
              <w:pStyle w:val="5"/>
              <w:snapToGrid w:val="0"/>
              <w:spacing w:line="360" w:lineRule="auto"/>
              <w:ind w:left="105" w:leftChars="50"/>
              <w:contextualSpacing/>
              <w:jc w:val="center"/>
              <w:rPr>
                <w:rFonts w:asciiTheme="minorEastAsia" w:hAnsiTheme="minorEastAsia" w:eastAsiaTheme="minorEastAsia"/>
                <w:color w:val="000000" w:themeColor="text1"/>
                <w:sz w:val="21"/>
                <w:szCs w:val="21"/>
              </w:rPr>
            </w:pPr>
            <w:r>
              <w:rPr>
                <w:rFonts w:hint="eastAsia" w:asciiTheme="minorEastAsia" w:hAnsiTheme="minorEastAsia" w:eastAsiaTheme="minorEastAsia"/>
                <w:color w:val="000000" w:themeColor="text1"/>
                <w:sz w:val="21"/>
                <w:szCs w:val="21"/>
              </w:rPr>
              <w:t>专业</w:t>
            </w:r>
            <w:r>
              <w:rPr>
                <w:rFonts w:asciiTheme="minorEastAsia" w:hAnsiTheme="minorEastAsia" w:eastAsiaTheme="minorEastAsia"/>
                <w:color w:val="000000" w:themeColor="text1"/>
                <w:sz w:val="21"/>
                <w:szCs w:val="21"/>
              </w:rPr>
              <w:t>选修</w:t>
            </w:r>
            <w:r>
              <w:rPr>
                <w:rFonts w:hint="eastAsia" w:asciiTheme="minorEastAsia" w:hAnsiTheme="minorEastAsia" w:eastAsiaTheme="minorEastAsia"/>
                <w:color w:val="000000" w:themeColor="text1"/>
                <w:sz w:val="21"/>
                <w:szCs w:val="21"/>
              </w:rPr>
              <w:t>课程</w:t>
            </w:r>
          </w:p>
        </w:tc>
        <w:tc>
          <w:tcPr>
            <w:tcW w:w="4320" w:type="dxa"/>
            <w:vAlign w:val="center"/>
          </w:tcPr>
          <w:p w14:paraId="1199D952">
            <w:pPr>
              <w:pStyle w:val="5"/>
              <w:snapToGrid w:val="0"/>
              <w:spacing w:line="360" w:lineRule="auto"/>
              <w:contextualSpacing/>
              <w:jc w:val="center"/>
              <w:rPr>
                <w:rFonts w:hint="eastAsia" w:asciiTheme="minorEastAsia" w:hAnsiTheme="minorEastAsia" w:eastAsiaTheme="minorEastAsia" w:cstheme="minorEastAsia"/>
                <w:color w:val="000000" w:themeColor="text1"/>
                <w:sz w:val="21"/>
                <w:szCs w:val="21"/>
              </w:rPr>
            </w:pPr>
            <w:r>
              <w:rPr>
                <w:rFonts w:hint="eastAsia" w:asciiTheme="minorEastAsia" w:hAnsiTheme="minorEastAsia" w:eastAsiaTheme="minorEastAsia" w:cstheme="minorEastAsia"/>
                <w:color w:val="000000" w:themeColor="text1"/>
                <w:sz w:val="21"/>
                <w:szCs w:val="21"/>
              </w:rPr>
              <w:t>现代控制理论及技术</w:t>
            </w:r>
          </w:p>
        </w:tc>
        <w:tc>
          <w:tcPr>
            <w:tcW w:w="2397" w:type="dxa"/>
            <w:vAlign w:val="center"/>
          </w:tcPr>
          <w:p w14:paraId="497538A1">
            <w:pPr>
              <w:pStyle w:val="5"/>
              <w:snapToGrid w:val="0"/>
              <w:spacing w:line="360" w:lineRule="auto"/>
              <w:contextualSpacing/>
              <w:jc w:val="center"/>
              <w:rPr>
                <w:rFonts w:hint="eastAsia" w:asciiTheme="minorEastAsia" w:hAnsiTheme="minorEastAsia" w:eastAsiaTheme="minorEastAsia" w:cstheme="minorEastAsia"/>
                <w:color w:val="000000" w:themeColor="text1"/>
                <w:sz w:val="21"/>
                <w:szCs w:val="21"/>
              </w:rPr>
            </w:pPr>
            <w:r>
              <w:rPr>
                <w:rFonts w:hint="eastAsia" w:asciiTheme="minorEastAsia" w:hAnsiTheme="minorEastAsia" w:eastAsiaTheme="minorEastAsia" w:cstheme="minorEastAsia"/>
                <w:color w:val="000000" w:themeColor="text1"/>
                <w:sz w:val="21"/>
                <w:szCs w:val="21"/>
              </w:rPr>
              <w:t>随机控制理论</w:t>
            </w:r>
          </w:p>
        </w:tc>
      </w:tr>
      <w:tr w14:paraId="0000E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14" w:type="dxa"/>
            <w:vMerge w:val="continue"/>
            <w:vAlign w:val="center"/>
          </w:tcPr>
          <w:p w14:paraId="0335EE06">
            <w:pPr>
              <w:pStyle w:val="5"/>
              <w:snapToGrid w:val="0"/>
              <w:spacing w:line="360" w:lineRule="auto"/>
              <w:contextualSpacing/>
              <w:jc w:val="center"/>
              <w:rPr>
                <w:rFonts w:asciiTheme="minorEastAsia" w:hAnsiTheme="minorEastAsia" w:eastAsiaTheme="minorEastAsia"/>
                <w:color w:val="000000" w:themeColor="text1"/>
                <w:sz w:val="21"/>
                <w:szCs w:val="21"/>
              </w:rPr>
            </w:pPr>
          </w:p>
        </w:tc>
        <w:tc>
          <w:tcPr>
            <w:tcW w:w="4320" w:type="dxa"/>
            <w:vAlign w:val="center"/>
          </w:tcPr>
          <w:p w14:paraId="54D47B1A">
            <w:pPr>
              <w:pStyle w:val="5"/>
              <w:snapToGrid w:val="0"/>
              <w:spacing w:line="360" w:lineRule="auto"/>
              <w:contextualSpacing/>
              <w:jc w:val="center"/>
              <w:rPr>
                <w:rFonts w:asciiTheme="minorEastAsia" w:hAnsiTheme="minorEastAsia" w:eastAsiaTheme="minorEastAsia" w:cstheme="minorEastAsia"/>
                <w:color w:val="000000" w:themeColor="text1"/>
                <w:sz w:val="21"/>
                <w:szCs w:val="21"/>
              </w:rPr>
            </w:pPr>
            <w:r>
              <w:rPr>
                <w:rFonts w:hint="eastAsia" w:asciiTheme="minorEastAsia" w:hAnsiTheme="minorEastAsia" w:cstheme="minorEastAsia"/>
                <w:color w:val="000000" w:themeColor="text1"/>
                <w:szCs w:val="21"/>
              </w:rPr>
              <w:t>非线性泛函分析</w:t>
            </w:r>
          </w:p>
        </w:tc>
        <w:tc>
          <w:tcPr>
            <w:tcW w:w="2397" w:type="dxa"/>
            <w:vAlign w:val="center"/>
          </w:tcPr>
          <w:p w14:paraId="2329F080">
            <w:pPr>
              <w:pStyle w:val="5"/>
              <w:snapToGrid w:val="0"/>
              <w:spacing w:line="360" w:lineRule="auto"/>
              <w:contextualSpacing/>
              <w:jc w:val="center"/>
              <w:rPr>
                <w:rFonts w:asciiTheme="minorEastAsia" w:hAnsiTheme="minorEastAsia" w:eastAsiaTheme="minorEastAsia" w:cstheme="minorEastAsia"/>
                <w:color w:val="000000" w:themeColor="text1"/>
                <w:sz w:val="21"/>
                <w:szCs w:val="21"/>
              </w:rPr>
            </w:pPr>
            <w:r>
              <w:rPr>
                <w:rFonts w:hint="eastAsia" w:asciiTheme="minorEastAsia" w:hAnsiTheme="minorEastAsia" w:eastAsiaTheme="minorEastAsia" w:cstheme="minorEastAsia"/>
                <w:color w:val="000000" w:themeColor="text1"/>
                <w:sz w:val="21"/>
                <w:szCs w:val="21"/>
              </w:rPr>
              <w:t>向量最优化理论</w:t>
            </w:r>
          </w:p>
        </w:tc>
      </w:tr>
      <w:tr w14:paraId="19304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14" w:type="dxa"/>
            <w:vMerge w:val="continue"/>
            <w:vAlign w:val="center"/>
          </w:tcPr>
          <w:p w14:paraId="599F2F46">
            <w:pPr>
              <w:pStyle w:val="5"/>
              <w:snapToGrid w:val="0"/>
              <w:spacing w:line="360" w:lineRule="auto"/>
              <w:contextualSpacing/>
              <w:jc w:val="center"/>
              <w:rPr>
                <w:rFonts w:asciiTheme="minorEastAsia" w:hAnsiTheme="minorEastAsia" w:eastAsiaTheme="minorEastAsia"/>
                <w:color w:val="000000" w:themeColor="text1"/>
                <w:sz w:val="21"/>
                <w:szCs w:val="21"/>
              </w:rPr>
            </w:pPr>
          </w:p>
        </w:tc>
        <w:tc>
          <w:tcPr>
            <w:tcW w:w="4320" w:type="dxa"/>
            <w:vAlign w:val="center"/>
          </w:tcPr>
          <w:p w14:paraId="5C65B141">
            <w:pPr>
              <w:pStyle w:val="5"/>
              <w:snapToGrid w:val="0"/>
              <w:spacing w:line="360" w:lineRule="auto"/>
              <w:contextualSpacing/>
              <w:jc w:val="center"/>
              <w:rPr>
                <w:rFonts w:asciiTheme="minorEastAsia" w:hAnsiTheme="minorEastAsia" w:eastAsiaTheme="minorEastAsia" w:cstheme="minorEastAsia"/>
                <w:color w:val="000000" w:themeColor="text1"/>
                <w:sz w:val="21"/>
                <w:szCs w:val="21"/>
              </w:rPr>
            </w:pPr>
            <w:r>
              <w:rPr>
                <w:rFonts w:hint="eastAsia" w:asciiTheme="minorEastAsia" w:hAnsiTheme="minorEastAsia" w:eastAsiaTheme="minorEastAsia" w:cstheme="minorEastAsia"/>
                <w:color w:val="000000" w:themeColor="text1"/>
                <w:sz w:val="21"/>
                <w:szCs w:val="21"/>
              </w:rPr>
              <w:t>变分迭代法</w:t>
            </w:r>
          </w:p>
        </w:tc>
        <w:tc>
          <w:tcPr>
            <w:tcW w:w="2397" w:type="dxa"/>
            <w:vAlign w:val="center"/>
          </w:tcPr>
          <w:p w14:paraId="251493B0">
            <w:pPr>
              <w:pStyle w:val="5"/>
              <w:snapToGrid w:val="0"/>
              <w:spacing w:line="360" w:lineRule="auto"/>
              <w:contextualSpacing/>
              <w:jc w:val="center"/>
              <w:rPr>
                <w:rFonts w:asciiTheme="minorEastAsia" w:hAnsiTheme="minorEastAsia" w:eastAsiaTheme="minorEastAsia" w:cstheme="minorEastAsia"/>
                <w:color w:val="000000" w:themeColor="text1"/>
                <w:sz w:val="21"/>
                <w:szCs w:val="21"/>
              </w:rPr>
            </w:pPr>
            <w:r>
              <w:rPr>
                <w:rFonts w:hint="eastAsia" w:asciiTheme="minorEastAsia" w:hAnsiTheme="minorEastAsia" w:eastAsiaTheme="minorEastAsia" w:cstheme="minorEastAsia"/>
                <w:color w:val="000000" w:themeColor="text1"/>
                <w:sz w:val="21"/>
                <w:szCs w:val="21"/>
              </w:rPr>
              <w:t>微分拓扑</w:t>
            </w:r>
          </w:p>
        </w:tc>
      </w:tr>
    </w:tbl>
    <w:p w14:paraId="4F7974D4">
      <w:pPr>
        <w:pStyle w:val="5"/>
        <w:snapToGrid w:val="0"/>
        <w:spacing w:line="360" w:lineRule="auto"/>
        <w:ind w:firstLine="2520" w:firstLineChars="1200"/>
        <w:contextualSpacing/>
        <w:rPr>
          <w:rFonts w:asciiTheme="minorEastAsia" w:hAnsiTheme="minorEastAsia" w:eastAsiaTheme="minorEastAsia"/>
          <w:color w:val="000000" w:themeColor="text1"/>
          <w:sz w:val="21"/>
          <w:szCs w:val="21"/>
        </w:rPr>
      </w:pPr>
      <w:r>
        <w:rPr>
          <w:rFonts w:hint="eastAsia" w:asciiTheme="minorEastAsia" w:hAnsiTheme="minorEastAsia" w:eastAsiaTheme="minorEastAsia"/>
          <w:color w:val="000000" w:themeColor="text1"/>
          <w:sz w:val="21"/>
          <w:szCs w:val="21"/>
        </w:rPr>
        <w:t xml:space="preserve"> 注：部分课程参照实际教学</w:t>
      </w:r>
    </w:p>
    <w:p w14:paraId="082552A6">
      <w:pPr>
        <w:numPr>
          <w:ilvl w:val="0"/>
          <w:numId w:val="1"/>
        </w:numPr>
        <w:rPr>
          <w:rFonts w:eastAsia="宋体"/>
          <w:b/>
          <w:bCs/>
          <w:color w:val="000000" w:themeColor="text1"/>
          <w:sz w:val="24"/>
        </w:rPr>
      </w:pPr>
      <w:r>
        <w:rPr>
          <w:rFonts w:hint="eastAsia" w:eastAsia="宋体"/>
          <w:b/>
          <w:bCs/>
          <w:color w:val="000000" w:themeColor="text1"/>
          <w:sz w:val="24"/>
        </w:rPr>
        <w:t>报考条件：</w:t>
      </w:r>
    </w:p>
    <w:p w14:paraId="0FF95591">
      <w:pPr>
        <w:spacing w:line="360" w:lineRule="auto"/>
        <w:ind w:firstLine="480" w:firstLineChars="200"/>
        <w:rPr>
          <w:rFonts w:eastAsia="宋体"/>
          <w:color w:val="000000" w:themeColor="text1"/>
          <w:sz w:val="24"/>
        </w:rPr>
      </w:pPr>
      <w:r>
        <w:rPr>
          <w:rFonts w:hint="eastAsia" w:eastAsia="宋体"/>
          <w:color w:val="000000" w:themeColor="text1"/>
          <w:sz w:val="24"/>
        </w:rPr>
        <w:t xml:space="preserve">1、拥护中华人民共和国宪法、遵守法律、法规，品行端正的在职人员。   </w:t>
      </w:r>
    </w:p>
    <w:p w14:paraId="110F7005">
      <w:pPr>
        <w:spacing w:line="360" w:lineRule="auto"/>
        <w:ind w:firstLine="480" w:firstLineChars="200"/>
        <w:rPr>
          <w:rFonts w:eastAsia="宋体"/>
          <w:color w:val="000000" w:themeColor="text1"/>
          <w:sz w:val="24"/>
        </w:rPr>
      </w:pPr>
      <w:r>
        <w:rPr>
          <w:rFonts w:hint="eastAsia" w:eastAsia="宋体"/>
          <w:color w:val="000000" w:themeColor="text1"/>
          <w:sz w:val="24"/>
        </w:rPr>
        <w:t xml:space="preserve">2、申请硕士学位的在职人员应具有大学本科学历且已获得学士学位，并在 获得学士学位后工作三年以上（含三年）或者虽无学士学位但已获硕士或博士学 位，在申请学位的专业或相近专业做出成绩。                                 </w:t>
      </w:r>
    </w:p>
    <w:p w14:paraId="452F8AFE">
      <w:pPr>
        <w:spacing w:line="360" w:lineRule="auto"/>
        <w:ind w:firstLine="480" w:firstLineChars="200"/>
        <w:rPr>
          <w:rFonts w:hint="eastAsia" w:eastAsia="宋体"/>
          <w:color w:val="000000" w:themeColor="text1"/>
          <w:sz w:val="24"/>
        </w:rPr>
      </w:pPr>
      <w:r>
        <w:rPr>
          <w:rFonts w:hint="eastAsia" w:eastAsia="宋体"/>
          <w:color w:val="000000" w:themeColor="text1"/>
          <w:sz w:val="24"/>
        </w:rPr>
        <w:t xml:space="preserve">3、具有专科学历或本科学历无学士学位者，具有两年以上工作经验，经申 请也可报读，但不能申请硕士学位。 </w:t>
      </w:r>
    </w:p>
    <w:p w14:paraId="2CF052E0">
      <w:pPr>
        <w:spacing w:line="360" w:lineRule="auto"/>
        <w:ind w:firstLine="480" w:firstLineChars="200"/>
        <w:rPr>
          <w:rFonts w:eastAsia="宋体"/>
          <w:color w:val="000000" w:themeColor="text1"/>
          <w:sz w:val="24"/>
        </w:rPr>
      </w:pPr>
    </w:p>
    <w:p w14:paraId="4C66B1DF">
      <w:pPr>
        <w:numPr>
          <w:ilvl w:val="0"/>
          <w:numId w:val="1"/>
        </w:numPr>
        <w:rPr>
          <w:rFonts w:eastAsia="宋体"/>
          <w:b/>
          <w:bCs/>
          <w:color w:val="000000" w:themeColor="text1"/>
          <w:sz w:val="24"/>
        </w:rPr>
      </w:pPr>
      <w:r>
        <w:rPr>
          <w:rFonts w:hint="eastAsia" w:eastAsia="宋体"/>
          <w:b/>
          <w:bCs/>
          <w:color w:val="000000" w:themeColor="text1"/>
          <w:sz w:val="24"/>
        </w:rPr>
        <w:t>培养方式和学制：</w:t>
      </w:r>
    </w:p>
    <w:p w14:paraId="1CFA60C9">
      <w:pPr>
        <w:spacing w:line="360" w:lineRule="auto"/>
        <w:ind w:firstLine="480" w:firstLineChars="200"/>
        <w:rPr>
          <w:rFonts w:hint="eastAsia" w:eastAsia="宋体"/>
          <w:color w:val="000000" w:themeColor="text1"/>
          <w:sz w:val="24"/>
        </w:rPr>
      </w:pPr>
      <w:r>
        <w:rPr>
          <w:rFonts w:hint="eastAsia" w:eastAsia="宋体"/>
          <w:color w:val="000000" w:themeColor="text1"/>
          <w:sz w:val="24"/>
        </w:rPr>
        <w:t>授课方式：线上（录播或直播）与线下讲座相结合</w:t>
      </w:r>
    </w:p>
    <w:p w14:paraId="0597B92A">
      <w:pPr>
        <w:spacing w:line="360" w:lineRule="auto"/>
        <w:ind w:firstLine="480" w:firstLineChars="200"/>
        <w:rPr>
          <w:rFonts w:eastAsia="宋体"/>
          <w:color w:val="000000" w:themeColor="text1"/>
          <w:sz w:val="24"/>
        </w:rPr>
      </w:pPr>
      <w:r>
        <w:rPr>
          <w:rFonts w:hint="eastAsia" w:eastAsia="宋体"/>
          <w:color w:val="000000" w:themeColor="text1"/>
          <w:sz w:val="24"/>
        </w:rPr>
        <w:t>学制：1.5-2年</w:t>
      </w:r>
    </w:p>
    <w:p w14:paraId="1531D8CA">
      <w:pPr>
        <w:rPr>
          <w:rFonts w:eastAsia="宋体"/>
          <w:b/>
          <w:bCs/>
          <w:color w:val="000000" w:themeColor="text1"/>
          <w:sz w:val="24"/>
        </w:rPr>
      </w:pPr>
    </w:p>
    <w:p w14:paraId="2C2B468F">
      <w:pPr>
        <w:numPr>
          <w:ilvl w:val="0"/>
          <w:numId w:val="1"/>
        </w:numPr>
        <w:rPr>
          <w:rFonts w:eastAsia="宋体"/>
          <w:b/>
          <w:bCs/>
          <w:color w:val="000000" w:themeColor="text1"/>
          <w:sz w:val="24"/>
        </w:rPr>
      </w:pPr>
      <w:r>
        <w:rPr>
          <w:rFonts w:hint="eastAsia" w:eastAsia="宋体"/>
          <w:b/>
          <w:bCs/>
          <w:color w:val="000000" w:themeColor="text1"/>
          <w:sz w:val="24"/>
        </w:rPr>
        <w:t>报名材料：</w:t>
      </w:r>
    </w:p>
    <w:p w14:paraId="583F178F">
      <w:pPr>
        <w:spacing w:line="360" w:lineRule="auto"/>
        <w:ind w:firstLine="480" w:firstLineChars="200"/>
        <w:rPr>
          <w:rFonts w:eastAsia="宋体"/>
          <w:color w:val="000000" w:themeColor="text1"/>
          <w:sz w:val="24"/>
        </w:rPr>
      </w:pPr>
      <w:r>
        <w:rPr>
          <w:rFonts w:hint="eastAsia" w:eastAsia="宋体"/>
          <w:color w:val="000000" w:themeColor="text1"/>
          <w:sz w:val="24"/>
        </w:rPr>
        <w:t xml:space="preserve">1、有效身份证件、学位证书、毕业证书原件并交复印件各一份；          </w:t>
      </w:r>
    </w:p>
    <w:p w14:paraId="794ABA3D">
      <w:pPr>
        <w:spacing w:line="360" w:lineRule="auto"/>
        <w:ind w:firstLine="480" w:firstLineChars="200"/>
        <w:rPr>
          <w:rFonts w:eastAsia="宋体"/>
          <w:color w:val="000000" w:themeColor="text1"/>
          <w:sz w:val="24"/>
        </w:rPr>
      </w:pPr>
      <w:r>
        <w:rPr>
          <w:rFonts w:hint="eastAsia" w:eastAsia="宋体"/>
          <w:color w:val="000000" w:themeColor="text1"/>
          <w:sz w:val="24"/>
        </w:rPr>
        <w:t xml:space="preserve">2、填写“湖北师范大学接受在职人员以同等学力申请硕士学位登记表；                                                                    </w:t>
      </w:r>
    </w:p>
    <w:p w14:paraId="53DC20C2">
      <w:pPr>
        <w:spacing w:line="360" w:lineRule="auto"/>
        <w:ind w:firstLine="480" w:firstLineChars="200"/>
        <w:rPr>
          <w:rFonts w:eastAsia="宋体"/>
          <w:color w:val="000000" w:themeColor="text1"/>
          <w:sz w:val="24"/>
        </w:rPr>
      </w:pPr>
      <w:r>
        <w:rPr>
          <w:rFonts w:hint="eastAsia" w:eastAsia="宋体"/>
          <w:color w:val="000000" w:themeColor="text1"/>
          <w:sz w:val="24"/>
        </w:rPr>
        <w:t xml:space="preserve">3、已发表或出版的与申请学位专业相关的学术论文、专著或其它成果 ；                                                          </w:t>
      </w:r>
    </w:p>
    <w:p w14:paraId="4D1EB107">
      <w:pPr>
        <w:spacing w:line="360" w:lineRule="auto"/>
        <w:ind w:firstLine="480" w:firstLineChars="200"/>
        <w:rPr>
          <w:rFonts w:eastAsia="宋体"/>
          <w:color w:val="000000" w:themeColor="text1"/>
          <w:sz w:val="24"/>
        </w:rPr>
      </w:pPr>
      <w:r>
        <w:rPr>
          <w:rFonts w:hint="eastAsia" w:eastAsia="宋体"/>
          <w:color w:val="000000" w:themeColor="text1"/>
          <w:sz w:val="24"/>
        </w:rPr>
        <w:t xml:space="preserve">4、报名时需带同一底版近期一寸免冠照片三张。    </w:t>
      </w:r>
    </w:p>
    <w:p w14:paraId="517CBE52">
      <w:pPr>
        <w:rPr>
          <w:rFonts w:eastAsia="宋体"/>
          <w:b/>
          <w:bCs/>
          <w:color w:val="000000" w:themeColor="text1"/>
          <w:sz w:val="24"/>
        </w:rPr>
      </w:pPr>
    </w:p>
    <w:p w14:paraId="7ACA7BC6">
      <w:pPr>
        <w:numPr>
          <w:ilvl w:val="0"/>
          <w:numId w:val="1"/>
        </w:numPr>
        <w:spacing w:line="360" w:lineRule="auto"/>
        <w:rPr>
          <w:rFonts w:eastAsia="宋体"/>
          <w:b/>
          <w:bCs/>
          <w:color w:val="000000" w:themeColor="text1"/>
          <w:sz w:val="24"/>
        </w:rPr>
      </w:pPr>
      <w:r>
        <w:rPr>
          <w:rFonts w:hint="eastAsia" w:eastAsia="宋体"/>
          <w:b/>
          <w:bCs/>
          <w:color w:val="000000" w:themeColor="text1"/>
          <w:sz w:val="24"/>
        </w:rPr>
        <w:t>报名费用：</w:t>
      </w:r>
    </w:p>
    <w:p w14:paraId="2318D3AD">
      <w:pPr>
        <w:spacing w:line="360" w:lineRule="auto"/>
        <w:ind w:firstLine="480" w:firstLineChars="200"/>
        <w:rPr>
          <w:color w:val="000000" w:themeColor="text1"/>
          <w:sz w:val="24"/>
        </w:rPr>
      </w:pPr>
      <w:r>
        <w:rPr>
          <w:rFonts w:hint="eastAsia"/>
          <w:color w:val="000000" w:themeColor="text1"/>
          <w:sz w:val="24"/>
          <w:lang w:val="en-US" w:eastAsia="zh-CN"/>
        </w:rPr>
        <w:t>1</w:t>
      </w:r>
      <w:r>
        <w:rPr>
          <w:rFonts w:hint="eastAsia"/>
          <w:color w:val="000000" w:themeColor="text1"/>
          <w:sz w:val="24"/>
        </w:rPr>
        <w:t>、学费：</w:t>
      </w:r>
      <w:r>
        <w:rPr>
          <w:rFonts w:hint="eastAsia"/>
          <w:color w:val="000000" w:themeColor="text1"/>
          <w:sz w:val="24"/>
          <w:lang w:val="en-US" w:eastAsia="zh-CN"/>
        </w:rPr>
        <w:t>15000</w:t>
      </w:r>
      <w:r>
        <w:rPr>
          <w:rFonts w:hint="eastAsia"/>
          <w:color w:val="000000" w:themeColor="text1"/>
          <w:sz w:val="24"/>
        </w:rPr>
        <w:t>元</w:t>
      </w:r>
    </w:p>
    <w:p w14:paraId="7642CF00">
      <w:pPr>
        <w:spacing w:line="360" w:lineRule="auto"/>
        <w:ind w:firstLine="480" w:firstLineChars="200"/>
        <w:rPr>
          <w:color w:val="000000" w:themeColor="text1"/>
          <w:sz w:val="24"/>
        </w:rPr>
      </w:pPr>
      <w:r>
        <w:rPr>
          <w:rFonts w:hint="eastAsia"/>
          <w:color w:val="000000" w:themeColor="text1"/>
          <w:sz w:val="24"/>
          <w:lang w:val="en-US" w:eastAsia="zh-CN"/>
        </w:rPr>
        <w:t>2</w:t>
      </w:r>
      <w:r>
        <w:rPr>
          <w:rFonts w:hint="eastAsia"/>
          <w:color w:val="000000" w:themeColor="text1"/>
          <w:sz w:val="24"/>
        </w:rPr>
        <w:t>、答辩费：</w:t>
      </w:r>
      <w:r>
        <w:rPr>
          <w:rFonts w:hint="eastAsia"/>
          <w:color w:val="000000" w:themeColor="text1"/>
          <w:sz w:val="24"/>
          <w:lang w:val="en-US" w:eastAsia="zh-CN"/>
        </w:rPr>
        <w:t>23000</w:t>
      </w:r>
      <w:r>
        <w:rPr>
          <w:rFonts w:hint="eastAsia"/>
          <w:color w:val="000000" w:themeColor="text1"/>
          <w:sz w:val="24"/>
        </w:rPr>
        <w:t>元</w:t>
      </w:r>
    </w:p>
    <w:p w14:paraId="477AED3C">
      <w:pPr>
        <w:rPr>
          <w:rFonts w:eastAsia="宋体"/>
          <w:b/>
          <w:bCs/>
          <w:color w:val="000000" w:themeColor="text1"/>
          <w:sz w:val="24"/>
        </w:rPr>
      </w:pPr>
    </w:p>
    <w:p w14:paraId="5FB7E929">
      <w:pPr>
        <w:numPr>
          <w:ilvl w:val="0"/>
          <w:numId w:val="1"/>
        </w:numPr>
        <w:rPr>
          <w:rFonts w:eastAsia="宋体"/>
          <w:b/>
          <w:bCs/>
          <w:color w:val="000000" w:themeColor="text1"/>
          <w:sz w:val="24"/>
        </w:rPr>
      </w:pPr>
      <w:r>
        <w:rPr>
          <w:rFonts w:hint="eastAsia" w:eastAsia="宋体"/>
          <w:b/>
          <w:bCs/>
          <w:color w:val="000000" w:themeColor="text1"/>
          <w:sz w:val="24"/>
        </w:rPr>
        <w:t>获取证书：</w:t>
      </w:r>
    </w:p>
    <w:p w14:paraId="6609A14C">
      <w:pPr>
        <w:spacing w:line="360" w:lineRule="auto"/>
        <w:ind w:firstLine="480" w:firstLineChars="200"/>
        <w:rPr>
          <w:rFonts w:eastAsia="宋体"/>
          <w:color w:val="000000" w:themeColor="text1"/>
          <w:sz w:val="24"/>
        </w:rPr>
      </w:pPr>
      <w:r>
        <w:rPr>
          <w:rFonts w:hint="eastAsia" w:eastAsia="宋体"/>
          <w:color w:val="000000" w:themeColor="text1"/>
          <w:sz w:val="24"/>
        </w:rPr>
        <w:t xml:space="preserve">1、学员完成课程学习且成绩合格，由学校颁发 “湖北师范大学研究生课程进修班结业证书”（加盖湖北师范大学的钢印、红印、 校长印）； </w:t>
      </w:r>
    </w:p>
    <w:p w14:paraId="6DCE97EB">
      <w:pPr>
        <w:spacing w:line="360" w:lineRule="auto"/>
        <w:ind w:firstLine="480" w:firstLineChars="200"/>
        <w:rPr>
          <w:rFonts w:eastAsia="宋体"/>
          <w:b/>
          <w:bCs/>
          <w:color w:val="000000" w:themeColor="text1"/>
          <w:sz w:val="24"/>
        </w:rPr>
      </w:pPr>
      <w:r>
        <w:rPr>
          <w:rFonts w:hint="eastAsia" w:eastAsia="宋体"/>
          <w:color w:val="000000" w:themeColor="text1"/>
          <w:sz w:val="24"/>
        </w:rPr>
        <w:t>2、满足同等学力申请硕士学位条件学员可申请申硕考试，成绩合格可获取湖北师范大学硕士学位证书，学位网可查。</w:t>
      </w:r>
    </w:p>
    <w:p w14:paraId="0A83C645">
      <w:pPr>
        <w:rPr>
          <w:rFonts w:eastAsia="宋体"/>
          <w:color w:val="000000" w:themeColor="text1"/>
          <w:sz w:val="24"/>
        </w:rPr>
      </w:pPr>
      <w:bookmarkStart w:id="0" w:name="_GoBack"/>
      <w:bookmarkEnd w:id="0"/>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515667">
    <w:pPr>
      <w:pStyle w:val="4"/>
    </w:pPr>
    <w: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052060"/>
          <wp:effectExtent l="0" t="0" r="0" b="0"/>
          <wp:wrapNone/>
          <wp:docPr id="1" name="WordPictureWatermark18582" descr="湖北师范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18582" descr="湖北师范大学LOGO"/>
                  <pic:cNvPicPr>
                    <a:picLocks noChangeAspect="1"/>
                  </pic:cNvPicPr>
                </pic:nvPicPr>
                <pic:blipFill>
                  <a:blip r:embed="rId1">
                    <a:lum bright="69998" contrast="-70001"/>
                  </a:blip>
                  <a:stretch>
                    <a:fillRect/>
                  </a:stretch>
                </pic:blipFill>
                <pic:spPr>
                  <a:xfrm>
                    <a:off x="0" y="0"/>
                    <a:ext cx="5274310" cy="505206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B95593"/>
    <w:multiLevelType w:val="singleLevel"/>
    <w:tmpl w:val="D6B9559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GQ5ODQ5N2Q1NmI0ZDAwYTJiMTcyMmU3ZjhhMWE4NmEifQ=="/>
  </w:docVars>
  <w:rsids>
    <w:rsidRoot w:val="796930ED"/>
    <w:rsid w:val="00071C61"/>
    <w:rsid w:val="000F0ACD"/>
    <w:rsid w:val="005E4FB5"/>
    <w:rsid w:val="005F5546"/>
    <w:rsid w:val="0071777A"/>
    <w:rsid w:val="008D07E1"/>
    <w:rsid w:val="008D6911"/>
    <w:rsid w:val="008F59CA"/>
    <w:rsid w:val="00D346F5"/>
    <w:rsid w:val="00DC6E83"/>
    <w:rsid w:val="00EB667C"/>
    <w:rsid w:val="00ED31FC"/>
    <w:rsid w:val="017738CD"/>
    <w:rsid w:val="0E42568D"/>
    <w:rsid w:val="101A095E"/>
    <w:rsid w:val="1B8767F8"/>
    <w:rsid w:val="3534440D"/>
    <w:rsid w:val="465053FE"/>
    <w:rsid w:val="64127E15"/>
    <w:rsid w:val="68BB4662"/>
    <w:rsid w:val="718212AC"/>
    <w:rsid w:val="786F07FB"/>
    <w:rsid w:val="796930ED"/>
    <w:rsid w:val="79F07B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qFormat/>
    <w:uiPriority w:val="0"/>
    <w:rPr>
      <w:color w:val="0000FF"/>
      <w:u w:val="single"/>
    </w:rPr>
  </w:style>
  <w:style w:type="character" w:customStyle="1" w:styleId="10">
    <w:name w:val="批注框文本 Char"/>
    <w:basedOn w:val="8"/>
    <w:link w:val="2"/>
    <w:qFormat/>
    <w:uiPriority w:val="0"/>
    <w:rPr>
      <w:rFonts w:asciiTheme="minorHAnsi" w:hAnsiTheme="minorHAnsi" w:eastAsiaTheme="minorEastAsia" w:cstheme="minorBidi"/>
      <w:kern w:val="2"/>
      <w:sz w:val="18"/>
      <w:szCs w:val="18"/>
    </w:rPr>
  </w:style>
  <w:style w:type="paragraph" w:styleId="11">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1624</Words>
  <Characters>1649</Characters>
  <Lines>14</Lines>
  <Paragraphs>4</Paragraphs>
  <TotalTime>1</TotalTime>
  <ScaleCrop>false</ScaleCrop>
  <LinksUpToDate>false</LinksUpToDate>
  <CharactersWithSpaces>1834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2021-10-08T07:00:00Z</dcterms:created>
  <dc:creator>读研MBA-言言</dc:creator>
  <cp:lastModifiedBy>Administrator</cp:lastModifiedBy>
  <dcterms:modified xsi:type="dcterms:W3CDTF">2026-01-16T07:51:25Z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E5A30D8A8B804CFB8CD55EBA28090CDF</vt:lpwstr>
  </property>
  <property fmtid="{D5CDD505-2E9C-101B-9397-08002B2CF9AE}" pid="4" name="KSOTemplateDocerSaveRecord">
    <vt:lpwstr>eyJoZGlkIjoiMjJkYmYyOGQwNjU2YTFjYjBlYWQzZDdlZjc2Nzk1ZWYifQ==</vt:lpwstr>
  </property>
</Properties>
</file>