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597CF">
      <w:pPr>
        <w:jc w:val="center"/>
        <w:rPr>
          <w:rFonts w:eastAsia="宋体"/>
          <w:color w:val="000000" w:themeColor="text1"/>
        </w:rPr>
      </w:pPr>
      <w:r>
        <w:rPr>
          <w:rFonts w:hint="eastAsia" w:eastAsia="宋体"/>
          <w:color w:val="000000" w:themeColor="text1"/>
        </w:rPr>
        <w:drawing>
          <wp:inline distT="0" distB="0" distL="114300" distR="114300">
            <wp:extent cx="4295775" cy="1518920"/>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4292275" cy="1518249"/>
                    </a:xfrm>
                    <a:prstGeom prst="rect">
                      <a:avLst/>
                    </a:prstGeom>
                  </pic:spPr>
                </pic:pic>
              </a:graphicData>
            </a:graphic>
          </wp:inline>
        </w:drawing>
      </w:r>
    </w:p>
    <w:p w14:paraId="2E408801">
      <w:pPr>
        <w:jc w:val="center"/>
        <w:rPr>
          <w:rFonts w:hint="eastAsia" w:eastAsia="宋体"/>
          <w:b/>
          <w:bCs/>
          <w:color w:val="000000" w:themeColor="text1"/>
          <w:sz w:val="36"/>
          <w:szCs w:val="36"/>
        </w:rPr>
      </w:pPr>
      <w:r>
        <w:rPr>
          <w:rFonts w:hint="eastAsia" w:eastAsia="宋体"/>
          <w:b/>
          <w:bCs/>
          <w:color w:val="000000" w:themeColor="text1"/>
          <w:sz w:val="36"/>
          <w:szCs w:val="36"/>
        </w:rPr>
        <w:t>湖北师范大学同等学力申请硕士学位</w:t>
      </w:r>
    </w:p>
    <w:p w14:paraId="6EF758AD">
      <w:pPr>
        <w:jc w:val="center"/>
        <w:rPr>
          <w:rFonts w:eastAsia="宋体"/>
          <w:b/>
          <w:bCs/>
          <w:color w:val="000000" w:themeColor="text1"/>
          <w:sz w:val="36"/>
          <w:szCs w:val="36"/>
        </w:rPr>
      </w:pPr>
      <w:r>
        <w:rPr>
          <w:rFonts w:hint="eastAsia" w:eastAsia="宋体"/>
          <w:b/>
          <w:bCs/>
          <w:color w:val="000000" w:themeColor="text1"/>
          <w:sz w:val="36"/>
          <w:szCs w:val="36"/>
        </w:rPr>
        <w:t>课程与教学论--地理专业招生简章</w:t>
      </w:r>
    </w:p>
    <w:p w14:paraId="66027C51">
      <w:pPr>
        <w:rPr>
          <w:rFonts w:eastAsia="宋体"/>
          <w:b/>
          <w:bCs/>
          <w:color w:val="000000" w:themeColor="text1"/>
        </w:rPr>
      </w:pPr>
    </w:p>
    <w:p w14:paraId="6A6B6554">
      <w:pPr>
        <w:numPr>
          <w:ilvl w:val="0"/>
          <w:numId w:val="1"/>
        </w:numPr>
        <w:rPr>
          <w:rFonts w:eastAsia="宋体"/>
          <w:b/>
          <w:bCs/>
          <w:color w:val="000000" w:themeColor="text1"/>
          <w:sz w:val="24"/>
        </w:rPr>
      </w:pPr>
      <w:r>
        <w:rPr>
          <w:rFonts w:hint="eastAsia" w:eastAsia="宋体"/>
          <w:b/>
          <w:bCs/>
          <w:color w:val="000000" w:themeColor="text1"/>
          <w:sz w:val="24"/>
        </w:rPr>
        <w:t>学校简介：</w:t>
      </w:r>
    </w:p>
    <w:p w14:paraId="62772E16">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2C3BE6C1">
      <w:pPr>
        <w:spacing w:line="360" w:lineRule="auto"/>
        <w:ind w:firstLine="480" w:firstLineChars="200"/>
        <w:rPr>
          <w:rFonts w:eastAsia="宋体"/>
          <w:color w:val="000000" w:themeColor="text1"/>
          <w:sz w:val="24"/>
        </w:rPr>
      </w:pPr>
      <w:r>
        <w:rPr>
          <w:rFonts w:hint="eastAsia" w:eastAsia="宋体"/>
          <w:color w:val="000000" w:themeColor="text1"/>
          <w:sz w:val="24"/>
        </w:rPr>
        <w:t>课程与教学论是教育学专业硕士研究生开设的一门专业课程，包含有课程论、教学论、学科教学论等，课程与教学是学校教育的基本工作，是教师在每日工作中需要解决实际的课程与教学问题，目前本校开设了课程与教学地理专业同等学力申硕学习班，为广大在职社会需要晋升人士提供提升学历的学习机会。</w:t>
      </w:r>
    </w:p>
    <w:p w14:paraId="407F43AF">
      <w:pPr>
        <w:spacing w:line="360" w:lineRule="auto"/>
        <w:ind w:firstLine="480" w:firstLineChars="200"/>
        <w:rPr>
          <w:rFonts w:eastAsia="宋体"/>
          <w:color w:val="000000" w:themeColor="text1"/>
          <w:sz w:val="24"/>
        </w:rPr>
      </w:pPr>
    </w:p>
    <w:p w14:paraId="1077495E">
      <w:pPr>
        <w:numPr>
          <w:ilvl w:val="0"/>
          <w:numId w:val="1"/>
        </w:numPr>
        <w:rPr>
          <w:rFonts w:eastAsia="宋体"/>
          <w:b/>
          <w:bCs/>
          <w:color w:val="000000" w:themeColor="text1"/>
          <w:sz w:val="24"/>
        </w:rPr>
      </w:pPr>
      <w:r>
        <w:rPr>
          <w:rFonts w:hint="eastAsia" w:eastAsia="宋体"/>
          <w:b/>
          <w:bCs/>
          <w:color w:val="000000" w:themeColor="text1"/>
          <w:sz w:val="24"/>
        </w:rPr>
        <w:t>培养目标：</w:t>
      </w:r>
    </w:p>
    <w:p w14:paraId="53EC3C71">
      <w:pPr>
        <w:pStyle w:val="6"/>
        <w:spacing w:before="0" w:beforeAutospacing="0" w:after="0" w:afterAutospacing="0" w:line="462" w:lineRule="atLeast"/>
        <w:ind w:firstLine="480" w:firstLineChars="200"/>
        <w:rPr>
          <w:rFonts w:asciiTheme="minorHAnsi" w:hAnsiTheme="minorHAnsi" w:cstheme="minorBidi"/>
          <w:color w:val="000000" w:themeColor="text1"/>
          <w:kern w:val="2"/>
        </w:rPr>
      </w:pPr>
      <w:r>
        <w:rPr>
          <w:rFonts w:hint="eastAsia" w:asciiTheme="minorEastAsia" w:hAnsiTheme="minorEastAsia" w:cstheme="minorEastAsia"/>
          <w:color w:val="000000" w:themeColor="text1"/>
        </w:rPr>
        <w:t>本专业主要通过学习地理相关的课程与教学论理论基础和系统</w:t>
      </w:r>
      <w:r>
        <w:rPr>
          <w:rFonts w:hint="eastAsia" w:asciiTheme="minorHAnsi" w:hAnsiTheme="minorHAnsi" w:cstheme="minorBidi"/>
          <w:color w:val="000000" w:themeColor="text1"/>
          <w:kern w:val="2"/>
        </w:rPr>
        <w:t>的知识，培养具有良好的道德品质，熟练掌握一门外国语，能阅读本专业的外文资料并且具有论文写作能力和国际学术交流语言能力和运用网络信息技术的，系统地掌握地理知识和理论课程与教学教育科研方法，具有较强的地理教学和教育科研能力的中学和大学地理研究方案以及开展地理教学研究的人才。</w:t>
      </w:r>
    </w:p>
    <w:p w14:paraId="4F6A32E7">
      <w:pPr>
        <w:pStyle w:val="6"/>
        <w:spacing w:before="0" w:beforeAutospacing="0" w:after="0" w:afterAutospacing="0" w:line="462" w:lineRule="atLeast"/>
        <w:rPr>
          <w:rFonts w:asciiTheme="minorEastAsia" w:hAnsiTheme="minorEastAsia" w:cstheme="minorEastAsia"/>
          <w:color w:val="000000" w:themeColor="text1"/>
        </w:rPr>
      </w:pPr>
    </w:p>
    <w:p w14:paraId="7FAC2385">
      <w:pPr>
        <w:rPr>
          <w:rFonts w:eastAsia="宋体"/>
          <w:b/>
          <w:bCs/>
          <w:color w:val="000000" w:themeColor="text1"/>
          <w:sz w:val="24"/>
        </w:rPr>
      </w:pPr>
    </w:p>
    <w:p w14:paraId="3E4AFE7F">
      <w:pPr>
        <w:numPr>
          <w:ilvl w:val="0"/>
          <w:numId w:val="1"/>
        </w:numPr>
        <w:rPr>
          <w:rFonts w:eastAsia="宋体"/>
          <w:b/>
          <w:bCs/>
          <w:color w:val="000000" w:themeColor="text1"/>
          <w:sz w:val="24"/>
        </w:rPr>
      </w:pPr>
      <w:r>
        <w:rPr>
          <w:rFonts w:hint="eastAsia" w:eastAsia="宋体"/>
          <w:b/>
          <w:bCs/>
          <w:color w:val="000000" w:themeColor="text1"/>
          <w:sz w:val="24"/>
        </w:rPr>
        <w:t>培养优势：</w:t>
      </w:r>
    </w:p>
    <w:p w14:paraId="3DD69A1F">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157F741C">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705A3A1E">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【申硕科目少】学员满足申硕条件参加全国统一同等学力申请硕士学位考试，外语+</w:t>
      </w:r>
      <w:r>
        <w:rPr>
          <w:rFonts w:hint="eastAsia" w:ascii="宋体" w:hAnsi="宋体"/>
          <w:color w:val="000000" w:themeColor="text1"/>
          <w:sz w:val="24"/>
        </w:rPr>
        <w:t>专业综合，百分制六十分及格</w:t>
      </w:r>
      <w:r>
        <w:rPr>
          <w:rFonts w:hint="eastAsia" w:ascii="宋体" w:hAnsi="宋体" w:eastAsia="宋体" w:cs="Times New Roman"/>
          <w:color w:val="000000" w:themeColor="text1"/>
          <w:sz w:val="24"/>
        </w:rPr>
        <w:t>难度较低；</w:t>
      </w:r>
    </w:p>
    <w:p w14:paraId="51E8DC03">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48FF8BC8">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3DBB6E65">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21B4F835">
      <w:pPr>
        <w:spacing w:line="360" w:lineRule="auto"/>
        <w:rPr>
          <w:rFonts w:eastAsia="宋体"/>
          <w:color w:val="000000" w:themeColor="text1"/>
          <w:sz w:val="24"/>
        </w:rPr>
      </w:pPr>
    </w:p>
    <w:p w14:paraId="6EF47EC8">
      <w:pPr>
        <w:numPr>
          <w:ilvl w:val="0"/>
          <w:numId w:val="1"/>
        </w:numPr>
        <w:rPr>
          <w:rFonts w:eastAsia="宋体"/>
          <w:b/>
          <w:bCs/>
          <w:color w:val="000000" w:themeColor="text1"/>
          <w:sz w:val="24"/>
        </w:rPr>
      </w:pPr>
      <w:r>
        <w:rPr>
          <w:rFonts w:hint="eastAsia" w:eastAsia="宋体"/>
          <w:b/>
          <w:bCs/>
          <w:color w:val="000000" w:themeColor="text1"/>
          <w:sz w:val="24"/>
        </w:rPr>
        <w:t>课程设置：</w:t>
      </w:r>
    </w:p>
    <w:p w14:paraId="06D3D590">
      <w:pPr>
        <w:rPr>
          <w:rFonts w:eastAsia="宋体"/>
          <w:b/>
          <w:bCs/>
          <w:color w:val="000000" w:themeColor="text1"/>
          <w:sz w:val="24"/>
        </w:rPr>
      </w:pPr>
    </w:p>
    <w:tbl>
      <w:tblPr>
        <w:tblStyle w:val="8"/>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3660"/>
        <w:gridCol w:w="2852"/>
      </w:tblGrid>
      <w:tr w14:paraId="2796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600" w:type="dxa"/>
            <w:gridSpan w:val="3"/>
            <w:vAlign w:val="center"/>
          </w:tcPr>
          <w:p w14:paraId="6723E626">
            <w:pPr>
              <w:pStyle w:val="6"/>
              <w:snapToGrid w:val="0"/>
              <w:spacing w:line="360" w:lineRule="auto"/>
              <w:contextualSpacing/>
              <w:jc w:val="center"/>
              <w:rPr>
                <w:rFonts w:asciiTheme="minorEastAsia" w:hAnsiTheme="minorEastAsia" w:eastAsiaTheme="minorEastAsia"/>
                <w:color w:val="000000" w:themeColor="text1"/>
              </w:rPr>
            </w:pPr>
            <w:r>
              <w:rPr>
                <w:rFonts w:hint="eastAsia" w:eastAsia="宋体"/>
                <w:b/>
                <w:bCs/>
                <w:color w:val="000000" w:themeColor="text1"/>
                <w:sz w:val="24"/>
              </w:rPr>
              <w:t>课程与教学论</w:t>
            </w:r>
            <w:r>
              <w:rPr>
                <w:rFonts w:hint="eastAsia"/>
                <w:b/>
                <w:bCs/>
                <w:color w:val="000000" w:themeColor="text1"/>
                <w:sz w:val="24"/>
                <w:lang w:val="en-US" w:eastAsia="zh-CN"/>
              </w:rPr>
              <w:t>地理</w:t>
            </w:r>
            <w:r>
              <w:rPr>
                <w:rFonts w:hint="eastAsia" w:asciiTheme="minorEastAsia" w:hAnsiTheme="minorEastAsia" w:eastAsiaTheme="minorEastAsia"/>
                <w:b/>
                <w:bCs/>
                <w:color w:val="000000" w:themeColor="text1"/>
              </w:rPr>
              <w:t>专业课程</w:t>
            </w:r>
          </w:p>
        </w:tc>
      </w:tr>
      <w:tr w14:paraId="2100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06FE2094">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外国语Ⅰ</w:t>
            </w:r>
          </w:p>
        </w:tc>
        <w:tc>
          <w:tcPr>
            <w:tcW w:w="3660" w:type="dxa"/>
            <w:vAlign w:val="center"/>
          </w:tcPr>
          <w:p w14:paraId="78F5B620">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中国特色社会主义理论与实践研究</w:t>
            </w:r>
          </w:p>
        </w:tc>
        <w:tc>
          <w:tcPr>
            <w:tcW w:w="2852" w:type="dxa"/>
            <w:vAlign w:val="center"/>
          </w:tcPr>
          <w:p w14:paraId="210848FC">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发展与教育心理学</w:t>
            </w:r>
          </w:p>
        </w:tc>
      </w:tr>
      <w:tr w14:paraId="3705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09A3BFBC">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教育科研方法</w:t>
            </w:r>
          </w:p>
        </w:tc>
        <w:tc>
          <w:tcPr>
            <w:tcW w:w="3660" w:type="dxa"/>
            <w:vAlign w:val="center"/>
          </w:tcPr>
          <w:p w14:paraId="2E474CC3">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马克思主义与社会科学方法论</w:t>
            </w:r>
          </w:p>
        </w:tc>
        <w:tc>
          <w:tcPr>
            <w:tcW w:w="2852" w:type="dxa"/>
            <w:vAlign w:val="center"/>
          </w:tcPr>
          <w:p w14:paraId="2F7AD16F">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课程与教学论</w:t>
            </w:r>
          </w:p>
        </w:tc>
      </w:tr>
      <w:tr w14:paraId="4E3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26F9C9DC">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教育学原理</w:t>
            </w:r>
          </w:p>
        </w:tc>
        <w:tc>
          <w:tcPr>
            <w:tcW w:w="3660" w:type="dxa"/>
            <w:vAlign w:val="center"/>
          </w:tcPr>
          <w:p w14:paraId="70766328">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教育热点问题研究</w:t>
            </w:r>
          </w:p>
        </w:tc>
        <w:tc>
          <w:tcPr>
            <w:tcW w:w="2852" w:type="dxa"/>
            <w:vAlign w:val="center"/>
          </w:tcPr>
          <w:p w14:paraId="0D436DCD">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教师教育专题研究</w:t>
            </w:r>
          </w:p>
        </w:tc>
      </w:tr>
      <w:tr w14:paraId="5759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7976CBC0">
            <w:pPr>
              <w:pStyle w:val="6"/>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现代教育思潮</w:t>
            </w:r>
          </w:p>
        </w:tc>
        <w:tc>
          <w:tcPr>
            <w:tcW w:w="3660" w:type="dxa"/>
            <w:vAlign w:val="center"/>
          </w:tcPr>
          <w:p w14:paraId="6C94676C">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教师学习与发展专题研究</w:t>
            </w:r>
          </w:p>
        </w:tc>
        <w:tc>
          <w:tcPr>
            <w:tcW w:w="2852" w:type="dxa"/>
            <w:vAlign w:val="center"/>
          </w:tcPr>
          <w:p w14:paraId="43B54732">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德育原理</w:t>
            </w:r>
          </w:p>
        </w:tc>
      </w:tr>
      <w:tr w14:paraId="2E43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40CDFC35">
            <w:pPr>
              <w:pStyle w:val="6"/>
              <w:snapToGrid w:val="0"/>
              <w:spacing w:line="360" w:lineRule="auto"/>
              <w:contextualSpacing/>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教学艺术论</w:t>
            </w:r>
          </w:p>
        </w:tc>
        <w:tc>
          <w:tcPr>
            <w:tcW w:w="3660" w:type="dxa"/>
            <w:vAlign w:val="center"/>
          </w:tcPr>
          <w:p w14:paraId="0764633C">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教师教育学前沿问题研究</w:t>
            </w:r>
          </w:p>
        </w:tc>
        <w:tc>
          <w:tcPr>
            <w:tcW w:w="2852" w:type="dxa"/>
            <w:vAlign w:val="center"/>
          </w:tcPr>
          <w:p w14:paraId="2269FF2A">
            <w:pPr>
              <w:spacing w:line="220" w:lineRule="atLeast"/>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论文学术规范与写作指导</w:t>
            </w:r>
          </w:p>
        </w:tc>
      </w:tr>
    </w:tbl>
    <w:p w14:paraId="0017F134">
      <w:pPr>
        <w:pStyle w:val="6"/>
        <w:snapToGrid w:val="0"/>
        <w:spacing w:line="360" w:lineRule="auto"/>
        <w:ind w:firstLine="2520" w:firstLineChars="1200"/>
        <w:contextualSpacing/>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注：部分课程参照实际教学</w:t>
      </w:r>
    </w:p>
    <w:p w14:paraId="5A676DD9">
      <w:pPr>
        <w:numPr>
          <w:ilvl w:val="0"/>
          <w:numId w:val="1"/>
        </w:numPr>
        <w:rPr>
          <w:rFonts w:eastAsia="宋体"/>
          <w:b/>
          <w:bCs/>
          <w:color w:val="000000" w:themeColor="text1"/>
          <w:sz w:val="24"/>
        </w:rPr>
      </w:pPr>
      <w:r>
        <w:rPr>
          <w:rFonts w:hint="eastAsia" w:eastAsia="宋体"/>
          <w:b/>
          <w:bCs/>
          <w:color w:val="000000" w:themeColor="text1"/>
          <w:sz w:val="24"/>
        </w:rPr>
        <w:t>报考条件：</w:t>
      </w:r>
    </w:p>
    <w:p w14:paraId="5BB4A665">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506CDC0F">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05953319">
      <w:pPr>
        <w:spacing w:line="360" w:lineRule="auto"/>
        <w:ind w:firstLine="480" w:firstLineChars="200"/>
        <w:rPr>
          <w:rFonts w:hint="eastAsia" w:eastAsia="宋体"/>
          <w:color w:val="000000" w:themeColor="text1"/>
          <w:sz w:val="24"/>
        </w:rPr>
      </w:pPr>
      <w:r>
        <w:rPr>
          <w:rFonts w:hint="eastAsia" w:eastAsia="宋体"/>
          <w:color w:val="000000" w:themeColor="text1"/>
          <w:sz w:val="24"/>
        </w:rPr>
        <w:t>3、具有专科学历或本科学历无学士学位者，具有两年以上工作经验，经申 请也可报读，但不能申请硕士学位。</w:t>
      </w:r>
    </w:p>
    <w:p w14:paraId="2876DD67">
      <w:pPr>
        <w:spacing w:line="360" w:lineRule="auto"/>
        <w:ind w:firstLine="480" w:firstLineChars="200"/>
        <w:rPr>
          <w:rFonts w:hint="eastAsia" w:eastAsia="宋体"/>
          <w:color w:val="000000" w:themeColor="text1"/>
          <w:sz w:val="24"/>
        </w:rPr>
      </w:pPr>
    </w:p>
    <w:p w14:paraId="4CD3C07B">
      <w:pPr>
        <w:pStyle w:val="12"/>
        <w:numPr>
          <w:ilvl w:val="0"/>
          <w:numId w:val="2"/>
        </w:numPr>
        <w:ind w:firstLineChars="0"/>
        <w:rPr>
          <w:rFonts w:eastAsia="宋体"/>
          <w:b/>
          <w:bCs/>
          <w:color w:val="000000" w:themeColor="text1"/>
          <w:sz w:val="24"/>
        </w:rPr>
      </w:pPr>
      <w:r>
        <w:rPr>
          <w:rFonts w:hint="eastAsia" w:eastAsia="宋体"/>
          <w:b/>
          <w:bCs/>
          <w:color w:val="000000" w:themeColor="text1"/>
          <w:sz w:val="24"/>
        </w:rPr>
        <w:t>培养方式和学制：</w:t>
      </w:r>
    </w:p>
    <w:p w14:paraId="0D5AE998">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w:t>
      </w:r>
    </w:p>
    <w:p w14:paraId="6EC6832F">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4378BD4A">
      <w:pPr>
        <w:rPr>
          <w:rFonts w:eastAsia="宋体"/>
          <w:b/>
          <w:bCs/>
          <w:color w:val="000000" w:themeColor="text1"/>
          <w:sz w:val="24"/>
        </w:rPr>
      </w:pPr>
    </w:p>
    <w:p w14:paraId="24B22C61">
      <w:pPr>
        <w:pStyle w:val="12"/>
        <w:numPr>
          <w:ilvl w:val="0"/>
          <w:numId w:val="2"/>
        </w:numPr>
        <w:ind w:firstLineChars="0"/>
        <w:rPr>
          <w:rFonts w:eastAsia="宋体"/>
          <w:b/>
          <w:bCs/>
          <w:color w:val="000000" w:themeColor="text1"/>
          <w:sz w:val="24"/>
        </w:rPr>
      </w:pPr>
      <w:r>
        <w:rPr>
          <w:rFonts w:hint="eastAsia" w:eastAsia="宋体"/>
          <w:b/>
          <w:bCs/>
          <w:color w:val="000000" w:themeColor="text1"/>
          <w:sz w:val="24"/>
        </w:rPr>
        <w:t>报名材料：</w:t>
      </w:r>
    </w:p>
    <w:p w14:paraId="1343900C">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68D13531">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4FA68563">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24D7B6BC">
      <w:pPr>
        <w:spacing w:line="360" w:lineRule="auto"/>
        <w:ind w:left="48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6FDB504E">
      <w:pPr>
        <w:rPr>
          <w:rFonts w:eastAsia="宋体"/>
          <w:b/>
          <w:bCs/>
          <w:color w:val="000000" w:themeColor="text1"/>
          <w:sz w:val="24"/>
        </w:rPr>
      </w:pPr>
    </w:p>
    <w:p w14:paraId="48C37BBD">
      <w:pPr>
        <w:spacing w:line="360" w:lineRule="auto"/>
        <w:rPr>
          <w:rFonts w:eastAsia="宋体"/>
          <w:b/>
          <w:bCs/>
          <w:color w:val="000000" w:themeColor="text1"/>
          <w:sz w:val="24"/>
        </w:rPr>
      </w:pPr>
      <w:r>
        <w:rPr>
          <w:rFonts w:hint="eastAsia" w:eastAsia="宋体"/>
          <w:b/>
          <w:bCs/>
          <w:color w:val="000000" w:themeColor="text1"/>
          <w:sz w:val="24"/>
          <w:highlight w:val="lightGray"/>
        </w:rPr>
        <w:t>八、</w:t>
      </w:r>
      <w:r>
        <w:rPr>
          <w:rFonts w:hint="eastAsia" w:eastAsia="宋体"/>
          <w:b/>
          <w:bCs/>
          <w:color w:val="000000" w:themeColor="text1"/>
          <w:sz w:val="24"/>
        </w:rPr>
        <w:t>报名费用：</w:t>
      </w:r>
    </w:p>
    <w:p w14:paraId="2BD8D18A">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D34502E">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206AED62">
      <w:pPr>
        <w:rPr>
          <w:rFonts w:eastAsia="宋体"/>
          <w:b/>
          <w:bCs/>
          <w:color w:val="000000" w:themeColor="text1"/>
          <w:sz w:val="24"/>
        </w:rPr>
      </w:pPr>
    </w:p>
    <w:p w14:paraId="3111C284">
      <w:pPr>
        <w:rPr>
          <w:rFonts w:eastAsia="宋体"/>
          <w:b/>
          <w:bCs/>
          <w:color w:val="000000" w:themeColor="text1"/>
          <w:sz w:val="24"/>
        </w:rPr>
      </w:pPr>
      <w:r>
        <w:rPr>
          <w:rFonts w:hint="eastAsia" w:eastAsia="宋体"/>
          <w:b/>
          <w:bCs/>
          <w:color w:val="000000" w:themeColor="text1"/>
          <w:sz w:val="24"/>
        </w:rPr>
        <w:t>九、获取证书：</w:t>
      </w:r>
    </w:p>
    <w:p w14:paraId="6F540F74">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1F0B5FAA">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08A226BF">
      <w:pPr>
        <w:rPr>
          <w:rFonts w:eastAsia="宋体"/>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BDBC">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abstractNum w:abstractNumId="1">
    <w:nsid w:val="10D72CBB"/>
    <w:multiLevelType w:val="multilevel"/>
    <w:tmpl w:val="10D72CBB"/>
    <w:lvl w:ilvl="0" w:tentative="0">
      <w:start w:val="6"/>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422739"/>
    <w:rsid w:val="005173E4"/>
    <w:rsid w:val="007E195A"/>
    <w:rsid w:val="00BB70D0"/>
    <w:rsid w:val="00E566AF"/>
    <w:rsid w:val="05FE7AC9"/>
    <w:rsid w:val="07352E6D"/>
    <w:rsid w:val="09A653FE"/>
    <w:rsid w:val="10191206"/>
    <w:rsid w:val="130B01B1"/>
    <w:rsid w:val="16F829FB"/>
    <w:rsid w:val="19671257"/>
    <w:rsid w:val="1ACB461F"/>
    <w:rsid w:val="1D525E44"/>
    <w:rsid w:val="2F131E1E"/>
    <w:rsid w:val="38373238"/>
    <w:rsid w:val="39B91BA0"/>
    <w:rsid w:val="3A7D2394"/>
    <w:rsid w:val="3EEB69B3"/>
    <w:rsid w:val="40272A16"/>
    <w:rsid w:val="4127154A"/>
    <w:rsid w:val="42201739"/>
    <w:rsid w:val="45214DBF"/>
    <w:rsid w:val="462B4F19"/>
    <w:rsid w:val="467E54CB"/>
    <w:rsid w:val="47150AA3"/>
    <w:rsid w:val="4A726E33"/>
    <w:rsid w:val="50E70A65"/>
    <w:rsid w:val="5B7D1C3C"/>
    <w:rsid w:val="5CD02917"/>
    <w:rsid w:val="5CD660E6"/>
    <w:rsid w:val="5E78697C"/>
    <w:rsid w:val="5F2F47AD"/>
    <w:rsid w:val="68BB4662"/>
    <w:rsid w:val="6C707741"/>
    <w:rsid w:val="796930ED"/>
    <w:rsid w:val="79BA3DFB"/>
    <w:rsid w:val="7D9D0D4D"/>
    <w:rsid w:val="7EAC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1521</Words>
  <Characters>1547</Characters>
  <Lines>13</Lines>
  <Paragraphs>3</Paragraphs>
  <TotalTime>0</TotalTime>
  <ScaleCrop>false</ScaleCrop>
  <LinksUpToDate>false</LinksUpToDate>
  <CharactersWithSpaces>1730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2026-01-16T07:48:17Z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C2E099217BFE4E209B039066050A549A</vt:lpwstr>
  </property>
  <property fmtid="{D5CDD505-2E9C-101B-9397-08002B2CF9AE}" pid="4" name="KSOTemplateDocerSaveRecord">
    <vt:lpwstr>eyJoZGlkIjoiMjJkYmYyOGQwNjU2YTFjYjBlYWQzZDdlZjc2Nzk1ZWYifQ==</vt:lpwstr>
  </property>
</Properties>
</file>