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9CBFA">
      <w:pPr>
        <w:jc w:val="center"/>
      </w:pPr>
      <w:r>
        <w:drawing>
          <wp:inline distT="0" distB="0" distL="114300" distR="114300">
            <wp:extent cx="4641215" cy="138239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641215" cy="1382395"/>
                    </a:xfrm>
                    <a:prstGeom prst="rect">
                      <a:avLst/>
                    </a:prstGeom>
                    <a:noFill/>
                    <a:ln>
                      <a:noFill/>
                    </a:ln>
                  </pic:spPr>
                </pic:pic>
              </a:graphicData>
            </a:graphic>
          </wp:inline>
        </w:drawing>
      </w:r>
    </w:p>
    <w:p w14:paraId="3899A22A"/>
    <w:p w14:paraId="0655B754">
      <w:pPr>
        <w:ind w:firstLine="723" w:firstLineChars="200"/>
        <w:jc w:val="both"/>
        <w:rPr>
          <w:rFonts w:eastAsia="宋体"/>
          <w:b/>
          <w:bCs/>
          <w:sz w:val="36"/>
          <w:szCs w:val="36"/>
        </w:rPr>
      </w:pPr>
      <w:r>
        <w:rPr>
          <w:rFonts w:hint="eastAsia" w:eastAsia="宋体"/>
          <w:b/>
          <w:bCs/>
          <w:sz w:val="36"/>
          <w:szCs w:val="36"/>
          <w:lang w:val="en-US" w:eastAsia="zh-CN"/>
        </w:rPr>
        <w:t>华东政法</w:t>
      </w:r>
      <w:r>
        <w:rPr>
          <w:rFonts w:hint="eastAsia" w:eastAsia="宋体"/>
          <w:b/>
          <w:bCs/>
          <w:sz w:val="36"/>
          <w:szCs w:val="36"/>
        </w:rPr>
        <w:t>大学</w:t>
      </w:r>
      <w:r>
        <w:rPr>
          <w:rFonts w:hint="eastAsia" w:eastAsia="宋体"/>
          <w:b/>
          <w:bCs/>
          <w:sz w:val="36"/>
          <w:szCs w:val="36"/>
          <w:lang w:val="en-US" w:eastAsia="zh-CN"/>
        </w:rPr>
        <w:t>国际法专业在职课程</w:t>
      </w:r>
      <w:r>
        <w:rPr>
          <w:rFonts w:hint="eastAsia" w:eastAsia="宋体"/>
          <w:b/>
          <w:bCs/>
          <w:sz w:val="36"/>
          <w:szCs w:val="36"/>
        </w:rPr>
        <w:t>招生简章</w:t>
      </w:r>
    </w:p>
    <w:p w14:paraId="5044F11A"/>
    <w:p w14:paraId="2B01F03A"/>
    <w:p w14:paraId="1DA90010">
      <w:pPr>
        <w:numPr>
          <w:ilvl w:val="0"/>
          <w:numId w:val="1"/>
        </w:numPr>
        <w:rPr>
          <w:rFonts w:eastAsia="宋体"/>
          <w:b/>
          <w:bCs/>
          <w:sz w:val="24"/>
        </w:rPr>
      </w:pPr>
      <w:r>
        <w:rPr>
          <w:rFonts w:hint="eastAsia" w:eastAsia="宋体"/>
          <w:b/>
          <w:bCs/>
          <w:sz w:val="24"/>
        </w:rPr>
        <w:t>学校简介：</w:t>
      </w:r>
    </w:p>
    <w:p w14:paraId="43484637">
      <w:pPr>
        <w:pStyle w:val="5"/>
        <w:spacing w:line="500" w:lineRule="exact"/>
        <w:ind w:firstLine="420" w:firstLineChars="200"/>
        <w:contextualSpacing/>
        <w:rPr>
          <w:sz w:val="21"/>
          <w:szCs w:val="21"/>
        </w:rPr>
      </w:pPr>
      <w:r>
        <w:rPr>
          <w:sz w:val="21"/>
          <w:szCs w:val="21"/>
        </w:rPr>
        <w:t>华东政法大学(ECUPL) 成立于一九五二年，是中国法学界最老牌的“五院四系”之一 也是中国华东地区最具规模和影响力的综合性法学高等教育机构，被誉为“法学教育的东 方明珠”历史景观型长宁校园的前身是近代著名的圣约翰大学，为全国重点文物保护单位</w:t>
      </w:r>
    </w:p>
    <w:p w14:paraId="7F0968CA">
      <w:pPr>
        <w:pStyle w:val="5"/>
        <w:spacing w:line="500" w:lineRule="exact"/>
        <w:contextualSpacing/>
        <w:rPr>
          <w:sz w:val="21"/>
          <w:szCs w:val="21"/>
        </w:rPr>
      </w:pPr>
      <w:r>
        <w:rPr>
          <w:sz w:val="21"/>
          <w:szCs w:val="21"/>
        </w:rPr>
        <w:t>在教育部历次全国法学学科评估中，华政法学专业均获得一致好评，位列前茅。</w:t>
      </w:r>
    </w:p>
    <w:p w14:paraId="2DD07B74">
      <w:pPr>
        <w:pStyle w:val="5"/>
        <w:spacing w:line="500" w:lineRule="exact"/>
        <w:ind w:firstLine="420" w:firstLineChars="200"/>
        <w:contextualSpacing/>
        <w:rPr>
          <w:sz w:val="21"/>
          <w:szCs w:val="21"/>
        </w:rPr>
      </w:pPr>
      <w:r>
        <w:rPr>
          <w:sz w:val="21"/>
          <w:szCs w:val="21"/>
        </w:rPr>
        <w:t>多年来华政人遵循“笃行致知，明德崇法”的校训，发扬“逆境中崛起，忧患中奋进，辉煌中卓越”的精神，已把学校建设成为一所以法学学科为主，兼有经济学、管理学、文学、工学等学科的办学特色鲜明的多科性大学，被誉为“法学教育的东方明珠”。</w:t>
      </w:r>
    </w:p>
    <w:p w14:paraId="167D9546">
      <w:pPr>
        <w:pStyle w:val="5"/>
        <w:spacing w:line="500" w:lineRule="exact"/>
        <w:ind w:firstLine="420" w:firstLineChars="200"/>
        <w:contextualSpacing/>
        <w:rPr>
          <w:rFonts w:ascii="宋体" w:hAnsi="宋体" w:eastAsia="宋体" w:cs="宋体"/>
          <w:color w:val="auto"/>
          <w:sz w:val="21"/>
          <w:szCs w:val="21"/>
        </w:rPr>
      </w:pPr>
      <w:r>
        <w:rPr>
          <w:rFonts w:ascii="宋体" w:hAnsi="宋体" w:eastAsia="宋体" w:cs="宋体"/>
          <w:color w:val="auto"/>
          <w:sz w:val="21"/>
          <w:szCs w:val="21"/>
        </w:rPr>
        <w:t>华东政法大学于1985年建立国际法系，是我国高等院校中最早成立的国际法学术研究和教学机构之一。1996年，我校国际法专业成为司法部重点学科；1998年，我校国际法专业成为华东地区第一个法学博士点；2003年3月，成立了国际法学院。2004年，与香港城市大学法学院签订了联合培养本科生的合作协议;2007年，被列入上海市教育委员会重点学科（第五期）建设计划;2008年成为教育部“开放型国际法律人才培养模式”创新试验区。</w:t>
      </w:r>
    </w:p>
    <w:p w14:paraId="344FB2EA">
      <w:pPr>
        <w:pStyle w:val="5"/>
        <w:spacing w:line="500" w:lineRule="exact"/>
        <w:ind w:firstLine="420" w:firstLineChars="200"/>
        <w:contextualSpacing/>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为了适应我国社会经济发展和依法治国对高层次法律人才的社会需求，提升在职人员的法学专业水平和实践能力，根据国家和学校有关政策文件规定，依托学校法学学科优势和师资力量，华东政法大学</w:t>
      </w:r>
      <w:r>
        <w:rPr>
          <w:rFonts w:hint="eastAsia" w:cs="宋体"/>
          <w:color w:val="auto"/>
          <w:kern w:val="0"/>
          <w:sz w:val="21"/>
          <w:szCs w:val="21"/>
          <w:lang w:val="en-US" w:eastAsia="zh-CN" w:bidi="ar-SA"/>
        </w:rPr>
        <w:t>国际法</w:t>
      </w:r>
      <w:r>
        <w:rPr>
          <w:rFonts w:hint="eastAsia" w:ascii="宋体" w:hAnsi="宋体" w:eastAsia="宋体" w:cs="宋体"/>
          <w:color w:val="auto"/>
          <w:kern w:val="0"/>
          <w:sz w:val="21"/>
          <w:szCs w:val="21"/>
          <w:lang w:val="en-US" w:eastAsia="zh-CN" w:bidi="ar-SA"/>
        </w:rPr>
        <w:t>学院举办</w:t>
      </w:r>
      <w:r>
        <w:rPr>
          <w:rFonts w:hint="eastAsia" w:cs="宋体"/>
          <w:color w:val="auto"/>
          <w:kern w:val="0"/>
          <w:sz w:val="21"/>
          <w:szCs w:val="21"/>
          <w:lang w:val="en-US" w:eastAsia="zh-CN" w:bidi="ar-SA"/>
        </w:rPr>
        <w:t>国际法专业</w:t>
      </w:r>
      <w:r>
        <w:rPr>
          <w:rFonts w:hint="eastAsia" w:ascii="宋体" w:hAnsi="宋体" w:eastAsia="宋体" w:cs="宋体"/>
          <w:color w:val="auto"/>
          <w:kern w:val="0"/>
          <w:sz w:val="21"/>
          <w:szCs w:val="21"/>
          <w:lang w:val="en-US" w:eastAsia="zh-CN" w:bidi="ar-SA"/>
        </w:rPr>
        <w:t>人才高级研习班。</w:t>
      </w:r>
    </w:p>
    <w:p w14:paraId="518E9275">
      <w:pPr>
        <w:pStyle w:val="5"/>
        <w:spacing w:line="500" w:lineRule="exact"/>
        <w:ind w:firstLine="420" w:firstLineChars="200"/>
        <w:contextualSpacing/>
        <w:rPr>
          <w:rFonts w:hint="eastAsia" w:ascii="宋体" w:hAnsi="宋体" w:eastAsia="宋体" w:cs="宋体"/>
          <w:color w:val="auto"/>
          <w:kern w:val="0"/>
          <w:sz w:val="21"/>
          <w:szCs w:val="21"/>
          <w:lang w:val="en-US" w:eastAsia="zh-CN" w:bidi="ar-SA"/>
        </w:rPr>
      </w:pPr>
    </w:p>
    <w:p w14:paraId="351B9FE5">
      <w:pPr>
        <w:pStyle w:val="5"/>
        <w:spacing w:line="500" w:lineRule="exact"/>
        <w:ind w:firstLine="420" w:firstLineChars="200"/>
        <w:contextualSpacing/>
        <w:rPr>
          <w:rFonts w:hint="eastAsia" w:ascii="宋体" w:hAnsi="宋体" w:eastAsia="宋体" w:cs="宋体"/>
          <w:color w:val="auto"/>
          <w:kern w:val="0"/>
          <w:sz w:val="21"/>
          <w:szCs w:val="21"/>
          <w:lang w:val="en-US" w:eastAsia="zh-CN" w:bidi="ar-SA"/>
        </w:rPr>
      </w:pPr>
    </w:p>
    <w:p w14:paraId="7D52638B">
      <w:pPr>
        <w:widowControl w:val="0"/>
        <w:numPr>
          <w:ilvl w:val="0"/>
          <w:numId w:val="0"/>
        </w:numPr>
        <w:jc w:val="both"/>
        <w:rPr>
          <w:rFonts w:hint="eastAsia" w:eastAsia="宋体"/>
          <w:b/>
          <w:bCs/>
          <w:sz w:val="24"/>
        </w:rPr>
      </w:pPr>
    </w:p>
    <w:p w14:paraId="563678C2">
      <w:pPr>
        <w:widowControl w:val="0"/>
        <w:numPr>
          <w:ilvl w:val="0"/>
          <w:numId w:val="0"/>
        </w:numPr>
        <w:jc w:val="both"/>
        <w:rPr>
          <w:rFonts w:hint="eastAsia" w:eastAsia="宋体"/>
          <w:b/>
          <w:bCs/>
          <w:sz w:val="24"/>
        </w:rPr>
      </w:pPr>
    </w:p>
    <w:p w14:paraId="14B22201">
      <w:pPr>
        <w:numPr>
          <w:ilvl w:val="0"/>
          <w:numId w:val="1"/>
        </w:numPr>
        <w:rPr>
          <w:rFonts w:eastAsia="宋体"/>
          <w:b/>
          <w:bCs/>
          <w:sz w:val="24"/>
        </w:rPr>
      </w:pPr>
      <w:r>
        <w:rPr>
          <w:rFonts w:hint="eastAsia" w:eastAsia="宋体"/>
          <w:b/>
          <w:bCs/>
          <w:sz w:val="24"/>
          <w:lang w:val="en-US" w:eastAsia="zh-CN"/>
        </w:rPr>
        <w:t>培养目标：</w:t>
      </w:r>
    </w:p>
    <w:p w14:paraId="255881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ascii="宋体" w:hAnsi="宋体" w:eastAsia="宋体" w:cs="宋体"/>
          <w:color w:val="000000"/>
          <w:sz w:val="21"/>
          <w:szCs w:val="21"/>
        </w:rPr>
      </w:pPr>
      <w:r>
        <w:rPr>
          <w:rFonts w:ascii="宋体" w:hAnsi="宋体" w:eastAsia="宋体" w:cs="宋体"/>
          <w:color w:val="000000"/>
          <w:sz w:val="21"/>
          <w:szCs w:val="21"/>
        </w:rPr>
        <w:t>国际法专业的本科培养方案的首要目标是培养具有国际视野、通晓国际规则、能够参与国际法律事务和维护国家利益的法律人才。</w:t>
      </w:r>
    </w:p>
    <w:p w14:paraId="323972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jc w:val="both"/>
        <w:textAlignment w:val="auto"/>
        <w:rPr>
          <w:rFonts w:hint="eastAsia" w:ascii="宋体" w:hAnsi="宋体" w:eastAsia="宋体" w:cs="宋体"/>
          <w:color w:val="000000"/>
          <w:sz w:val="24"/>
          <w:szCs w:val="24"/>
          <w:lang w:val="en-US" w:eastAsia="zh-CN"/>
        </w:rPr>
      </w:pPr>
    </w:p>
    <w:p w14:paraId="56DA7E83">
      <w:pPr>
        <w:numPr>
          <w:ilvl w:val="0"/>
          <w:numId w:val="1"/>
        </w:numPr>
        <w:rPr>
          <w:rFonts w:eastAsia="宋体"/>
          <w:b/>
          <w:bCs/>
          <w:sz w:val="24"/>
        </w:rPr>
      </w:pPr>
      <w:r>
        <w:rPr>
          <w:rFonts w:hint="eastAsia" w:eastAsia="宋体"/>
          <w:b/>
          <w:bCs/>
          <w:sz w:val="24"/>
          <w:lang w:val="en-US" w:eastAsia="zh-CN"/>
        </w:rPr>
        <w:t>项目优势：</w:t>
      </w:r>
    </w:p>
    <w:p w14:paraId="057796D1">
      <w:pPr>
        <w:widowControl w:val="0"/>
        <w:numPr>
          <w:ilvl w:val="0"/>
          <w:numId w:val="0"/>
        </w:numPr>
        <w:jc w:val="both"/>
        <w:rPr>
          <w:rFonts w:hint="eastAsia" w:eastAsia="宋体"/>
          <w:b/>
          <w:bCs/>
          <w:sz w:val="24"/>
          <w:lang w:val="en-US" w:eastAsia="zh-CN"/>
        </w:rPr>
      </w:pPr>
    </w:p>
    <w:p w14:paraId="5FF37AA8">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【名校自办】：华东政法大学自管自办，是我国法学高校著名的五院四系之一；</w:t>
      </w:r>
    </w:p>
    <w:p w14:paraId="20223C18">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【名校亲授】：学员可“零”距离与全国法学权威教授、名人交流法学经验；</w:t>
      </w:r>
    </w:p>
    <w:p w14:paraId="24BCBE06">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【权威证书】：符合条件者可申请参加全国统一硕士考试，修读课程获取权威学位证书；</w:t>
      </w:r>
    </w:p>
    <w:p w14:paraId="35CA0EBF">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eastAsia" w:ascii="仿宋" w:hAnsi="仿宋" w:cs="仿宋"/>
          <w:b w:val="0"/>
          <w:bCs w:val="0"/>
          <w:color w:val="000000"/>
          <w:spacing w:val="1"/>
          <w:sz w:val="21"/>
          <w:szCs w:val="21"/>
          <w:lang w:val="en-US" w:eastAsia="zh-CN"/>
        </w:rPr>
      </w:pPr>
      <w:r>
        <w:rPr>
          <w:rFonts w:hint="eastAsia" w:ascii="仿宋" w:hAnsi="仿宋" w:cs="仿宋"/>
          <w:b w:val="0"/>
          <w:bCs w:val="0"/>
          <w:color w:val="000000"/>
          <w:spacing w:val="1"/>
          <w:sz w:val="21"/>
          <w:szCs w:val="21"/>
          <w:lang w:val="en-US" w:eastAsia="zh-CN"/>
        </w:rPr>
        <w:t>【灵活教学】：采用线上线下灵活教学的模式，保障学员学习工作两不误；</w:t>
      </w:r>
    </w:p>
    <w:p w14:paraId="60A34BFC">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rPr>
          <w:rFonts w:hint="default" w:eastAsia="宋体"/>
          <w:b w:val="0"/>
          <w:bCs w:val="0"/>
          <w:sz w:val="24"/>
          <w:lang w:val="en-US" w:eastAsia="zh-CN"/>
        </w:rPr>
      </w:pPr>
      <w:r>
        <w:rPr>
          <w:rFonts w:hint="eastAsia" w:ascii="仿宋" w:hAnsi="仿宋" w:cs="仿宋"/>
          <w:b w:val="0"/>
          <w:bCs w:val="0"/>
          <w:color w:val="000000"/>
          <w:spacing w:val="1"/>
          <w:sz w:val="21"/>
          <w:szCs w:val="21"/>
          <w:lang w:val="en-US" w:eastAsia="zh-CN"/>
        </w:rPr>
        <w:t>【结交人脉】：参与华政校友活动，结识各行业和公检法系统的精英，拓宽人脉资源。</w:t>
      </w:r>
    </w:p>
    <w:p w14:paraId="5B743DEE">
      <w:pPr>
        <w:widowControl w:val="0"/>
        <w:numPr>
          <w:ilvl w:val="0"/>
          <w:numId w:val="0"/>
        </w:numPr>
        <w:jc w:val="both"/>
        <w:rPr>
          <w:rFonts w:hint="eastAsia" w:eastAsia="宋体"/>
          <w:b/>
          <w:bCs/>
          <w:sz w:val="24"/>
          <w:lang w:val="en-US" w:eastAsia="zh-CN"/>
        </w:rPr>
      </w:pPr>
    </w:p>
    <w:p w14:paraId="019500E9">
      <w:pPr>
        <w:widowControl w:val="0"/>
        <w:numPr>
          <w:ilvl w:val="0"/>
          <w:numId w:val="0"/>
        </w:numPr>
        <w:jc w:val="both"/>
        <w:rPr>
          <w:rFonts w:hint="eastAsia" w:eastAsia="宋体"/>
          <w:b/>
          <w:bCs/>
          <w:sz w:val="24"/>
          <w:lang w:val="en-US" w:eastAsia="zh-CN"/>
        </w:rPr>
      </w:pPr>
    </w:p>
    <w:p w14:paraId="3C2C6B11">
      <w:pPr>
        <w:numPr>
          <w:ilvl w:val="0"/>
          <w:numId w:val="1"/>
        </w:numPr>
        <w:rPr>
          <w:rFonts w:eastAsia="宋体"/>
          <w:b/>
          <w:bCs/>
          <w:sz w:val="24"/>
        </w:rPr>
      </w:pPr>
      <w:r>
        <w:rPr>
          <w:rFonts w:hint="eastAsia" w:eastAsia="宋体"/>
          <w:b/>
          <w:bCs/>
          <w:sz w:val="24"/>
          <w:lang w:val="en-US" w:eastAsia="zh-CN"/>
        </w:rPr>
        <w:t>课程设置：</w:t>
      </w:r>
    </w:p>
    <w:p w14:paraId="4BEB83D5">
      <w:pPr>
        <w:widowControl w:val="0"/>
        <w:numPr>
          <w:ilvl w:val="0"/>
          <w:numId w:val="0"/>
        </w:numPr>
        <w:jc w:val="both"/>
        <w:rPr>
          <w:rFonts w:hint="eastAsia" w:eastAsia="宋体"/>
          <w:b/>
          <w:bCs/>
          <w:sz w:val="24"/>
          <w:lang w:val="en-US" w:eastAsia="zh-CN"/>
        </w:rPr>
      </w:pPr>
    </w:p>
    <w:tbl>
      <w:tblPr>
        <w:tblStyle w:val="7"/>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2070"/>
        <w:gridCol w:w="3584"/>
      </w:tblGrid>
      <w:tr w14:paraId="72A6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58" w:type="dxa"/>
            <w:gridSpan w:val="3"/>
            <w:vAlign w:val="center"/>
          </w:tcPr>
          <w:p w14:paraId="79EC7277">
            <w:pPr>
              <w:pStyle w:val="5"/>
              <w:snapToGrid w:val="0"/>
              <w:spacing w:line="360" w:lineRule="auto"/>
              <w:contextualSpacing/>
              <w:jc w:val="center"/>
              <w:rPr>
                <w:rFonts w:asciiTheme="minorEastAsia" w:hAnsiTheme="minorEastAsia" w:eastAsiaTheme="minorEastAsia"/>
              </w:rPr>
            </w:pPr>
            <w:r>
              <w:rPr>
                <w:rFonts w:hint="eastAsia" w:asciiTheme="minorEastAsia" w:hAnsiTheme="minorEastAsia" w:eastAsiaTheme="minorEastAsia"/>
                <w:b/>
                <w:bCs/>
                <w:lang w:val="en-US" w:eastAsia="zh-CN"/>
              </w:rPr>
              <w:t>国际法</w:t>
            </w:r>
            <w:r>
              <w:rPr>
                <w:rFonts w:hint="eastAsia" w:asciiTheme="minorEastAsia" w:hAnsiTheme="minorEastAsia" w:eastAsiaTheme="minorEastAsia"/>
                <w:b/>
                <w:bCs/>
              </w:rPr>
              <w:t>专业课程</w:t>
            </w:r>
          </w:p>
        </w:tc>
      </w:tr>
      <w:tr w14:paraId="1371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448637DB">
            <w:pPr>
              <w:pStyle w:val="5"/>
              <w:snapToGrid w:val="0"/>
              <w:spacing w:line="360" w:lineRule="auto"/>
              <w:contextualSpacing/>
              <w:jc w:val="center"/>
              <w:rPr>
                <w:rFonts w:asciiTheme="minorEastAsia" w:hAnsiTheme="minorEastAsia" w:eastAsiaTheme="minorEastAsia" w:cstheme="minorEastAsia"/>
                <w:b w:val="0"/>
                <w:bCs/>
                <w:sz w:val="21"/>
                <w:szCs w:val="21"/>
              </w:rPr>
            </w:pPr>
            <w:r>
              <w:rPr>
                <w:rStyle w:val="9"/>
                <w:rFonts w:ascii="宋体" w:hAnsi="宋体" w:eastAsia="宋体" w:cs="宋体"/>
                <w:b w:val="0"/>
                <w:bCs/>
                <w:sz w:val="21"/>
                <w:szCs w:val="21"/>
              </w:rPr>
              <w:t>中国法概论</w:t>
            </w:r>
          </w:p>
        </w:tc>
        <w:tc>
          <w:tcPr>
            <w:tcW w:w="2070" w:type="dxa"/>
            <w:vAlign w:val="center"/>
          </w:tcPr>
          <w:p w14:paraId="490D8483">
            <w:pPr>
              <w:pStyle w:val="5"/>
              <w:snapToGrid w:val="0"/>
              <w:spacing w:line="360" w:lineRule="auto"/>
              <w:contextualSpacing/>
              <w:jc w:val="center"/>
              <w:rPr>
                <w:rFonts w:hint="default" w:asciiTheme="minorEastAsia" w:hAnsiTheme="minorEastAsia" w:eastAsiaTheme="minorEastAsia" w:cstheme="minorEastAsia"/>
                <w:b w:val="0"/>
                <w:bCs/>
                <w:sz w:val="21"/>
                <w:szCs w:val="21"/>
                <w:lang w:val="en-US" w:eastAsia="zh-CN"/>
              </w:rPr>
            </w:pPr>
            <w:r>
              <w:rPr>
                <w:rStyle w:val="9"/>
                <w:rFonts w:ascii="宋体" w:hAnsi="宋体" w:eastAsia="宋体" w:cs="宋体"/>
                <w:b w:val="0"/>
                <w:bCs/>
                <w:sz w:val="21"/>
                <w:szCs w:val="21"/>
              </w:rPr>
              <w:t>法律写作与检索</w:t>
            </w:r>
          </w:p>
        </w:tc>
        <w:tc>
          <w:tcPr>
            <w:tcW w:w="3584" w:type="dxa"/>
            <w:vAlign w:val="center"/>
          </w:tcPr>
          <w:p w14:paraId="6524EF81">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国际贸易法</w:t>
            </w:r>
          </w:p>
        </w:tc>
      </w:tr>
      <w:tr w14:paraId="4411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2D34E713">
            <w:pPr>
              <w:pStyle w:val="5"/>
              <w:snapToGrid w:val="0"/>
              <w:spacing w:line="360" w:lineRule="auto"/>
              <w:contextualSpacing/>
              <w:jc w:val="center"/>
              <w:rPr>
                <w:rFonts w:asciiTheme="minorEastAsia" w:hAnsiTheme="minorEastAsia" w:eastAsiaTheme="minorEastAsia" w:cstheme="minorEastAsia"/>
                <w:b w:val="0"/>
                <w:bCs/>
                <w:sz w:val="21"/>
                <w:szCs w:val="21"/>
              </w:rPr>
            </w:pPr>
            <w:r>
              <w:rPr>
                <w:rStyle w:val="9"/>
                <w:rFonts w:ascii="宋体" w:hAnsi="宋体" w:eastAsia="宋体" w:cs="宋体"/>
                <w:b w:val="0"/>
                <w:bCs/>
                <w:sz w:val="21"/>
                <w:szCs w:val="21"/>
              </w:rPr>
              <w:t>国际投资法</w:t>
            </w:r>
          </w:p>
        </w:tc>
        <w:tc>
          <w:tcPr>
            <w:tcW w:w="2070" w:type="dxa"/>
            <w:vAlign w:val="center"/>
          </w:tcPr>
          <w:p w14:paraId="75E9D1DD">
            <w:pPr>
              <w:widowControl w:val="0"/>
              <w:numPr>
                <w:ilvl w:val="0"/>
                <w:numId w:val="0"/>
              </w:numPr>
              <w:jc w:val="center"/>
              <w:rPr>
                <w:rFonts w:hint="default" w:asciiTheme="minorEastAsia" w:hAnsiTheme="minorEastAsia" w:eastAsiaTheme="minorEastAsia" w:cstheme="minorEastAsia"/>
                <w:b w:val="0"/>
                <w:bCs/>
                <w:sz w:val="21"/>
                <w:szCs w:val="21"/>
                <w:lang w:val="en-US"/>
              </w:rPr>
            </w:pPr>
            <w:r>
              <w:rPr>
                <w:rStyle w:val="9"/>
                <w:rFonts w:ascii="宋体" w:hAnsi="宋体" w:eastAsia="宋体" w:cs="宋体"/>
                <w:b w:val="0"/>
                <w:bCs/>
                <w:sz w:val="21"/>
                <w:szCs w:val="21"/>
              </w:rPr>
              <w:t>国际公法</w:t>
            </w:r>
          </w:p>
        </w:tc>
        <w:tc>
          <w:tcPr>
            <w:tcW w:w="3584" w:type="dxa"/>
            <w:vAlign w:val="center"/>
          </w:tcPr>
          <w:p w14:paraId="3C50D91B">
            <w:pPr>
              <w:pStyle w:val="5"/>
              <w:snapToGrid w:val="0"/>
              <w:spacing w:line="360" w:lineRule="auto"/>
              <w:contextualSpacing/>
              <w:jc w:val="center"/>
              <w:rPr>
                <w:rFonts w:asciiTheme="minorEastAsia" w:hAnsiTheme="minorEastAsia" w:eastAsiaTheme="minorEastAsia" w:cstheme="minorEastAsia"/>
                <w:b w:val="0"/>
                <w:bCs/>
                <w:sz w:val="21"/>
                <w:szCs w:val="21"/>
              </w:rPr>
            </w:pPr>
            <w:r>
              <w:rPr>
                <w:rStyle w:val="9"/>
                <w:rFonts w:ascii="宋体" w:hAnsi="宋体" w:eastAsia="宋体" w:cs="宋体"/>
                <w:b w:val="0"/>
                <w:bCs/>
                <w:sz w:val="21"/>
                <w:szCs w:val="21"/>
              </w:rPr>
              <w:t>国际私法</w:t>
            </w:r>
            <w:r>
              <w:rPr>
                <w:rFonts w:ascii="宋体" w:hAnsi="宋体" w:eastAsia="宋体" w:cs="宋体"/>
                <w:b w:val="0"/>
                <w:bCs/>
                <w:sz w:val="21"/>
                <w:szCs w:val="21"/>
              </w:rPr>
              <w:t>‌</w:t>
            </w:r>
          </w:p>
        </w:tc>
      </w:tr>
      <w:tr w14:paraId="3C8E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58BB6D6C">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国际人权法</w:t>
            </w:r>
            <w:r>
              <w:rPr>
                <w:rFonts w:ascii="宋体" w:hAnsi="宋体" w:eastAsia="宋体" w:cs="宋体"/>
                <w:b w:val="0"/>
                <w:bCs/>
                <w:sz w:val="21"/>
                <w:szCs w:val="21"/>
              </w:rPr>
              <w:t>‌</w:t>
            </w:r>
          </w:p>
        </w:tc>
        <w:tc>
          <w:tcPr>
            <w:tcW w:w="2070" w:type="dxa"/>
            <w:vAlign w:val="center"/>
          </w:tcPr>
          <w:p w14:paraId="3C57E50F">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国际航空法</w:t>
            </w:r>
          </w:p>
        </w:tc>
        <w:tc>
          <w:tcPr>
            <w:tcW w:w="3584" w:type="dxa"/>
            <w:vAlign w:val="center"/>
          </w:tcPr>
          <w:p w14:paraId="0BD58C2F">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国际环境法</w:t>
            </w:r>
          </w:p>
        </w:tc>
      </w:tr>
      <w:tr w14:paraId="148F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4C08F858">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国际网络治理</w:t>
            </w:r>
          </w:p>
        </w:tc>
        <w:tc>
          <w:tcPr>
            <w:tcW w:w="2070" w:type="dxa"/>
            <w:vAlign w:val="center"/>
          </w:tcPr>
          <w:p w14:paraId="17931718">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中国民法</w:t>
            </w:r>
            <w:r>
              <w:rPr>
                <w:rFonts w:ascii="宋体" w:hAnsi="宋体" w:eastAsia="宋体" w:cs="宋体"/>
                <w:b w:val="0"/>
                <w:bCs/>
                <w:sz w:val="21"/>
                <w:szCs w:val="21"/>
              </w:rPr>
              <w:t>‌</w:t>
            </w:r>
          </w:p>
        </w:tc>
        <w:tc>
          <w:tcPr>
            <w:tcW w:w="3584" w:type="dxa"/>
            <w:vAlign w:val="center"/>
          </w:tcPr>
          <w:p w14:paraId="315E4AA2">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中国刑法</w:t>
            </w:r>
          </w:p>
        </w:tc>
      </w:tr>
      <w:tr w14:paraId="603B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3B266F95">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国际商事仲裁法</w:t>
            </w:r>
          </w:p>
        </w:tc>
        <w:tc>
          <w:tcPr>
            <w:tcW w:w="2070" w:type="dxa"/>
            <w:vAlign w:val="center"/>
          </w:tcPr>
          <w:p w14:paraId="62D65B79">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知识产权法</w:t>
            </w:r>
          </w:p>
        </w:tc>
        <w:tc>
          <w:tcPr>
            <w:tcW w:w="3584" w:type="dxa"/>
            <w:vAlign w:val="center"/>
          </w:tcPr>
          <w:p w14:paraId="2BD39851">
            <w:pPr>
              <w:pStyle w:val="5"/>
              <w:snapToGrid w:val="0"/>
              <w:spacing w:line="360" w:lineRule="auto"/>
              <w:contextualSpacing/>
              <w:jc w:val="center"/>
              <w:rPr>
                <w:rFonts w:hint="eastAsia" w:ascii="仿宋" w:hAnsi="仿宋" w:cs="仿宋" w:eastAsiaTheme="minorEastAsia"/>
                <w:b w:val="0"/>
                <w:bCs/>
                <w:color w:val="000000"/>
                <w:spacing w:val="1"/>
                <w:kern w:val="2"/>
                <w:sz w:val="21"/>
                <w:szCs w:val="21"/>
                <w:lang w:val="en-US" w:eastAsia="zh-CN" w:bidi="ar-SA"/>
              </w:rPr>
            </w:pPr>
            <w:r>
              <w:rPr>
                <w:rStyle w:val="9"/>
                <w:rFonts w:ascii="宋体" w:hAnsi="宋体" w:eastAsia="宋体" w:cs="宋体"/>
                <w:b w:val="0"/>
                <w:bCs/>
                <w:sz w:val="21"/>
                <w:szCs w:val="21"/>
              </w:rPr>
              <w:t>海商法</w:t>
            </w:r>
            <w:r>
              <w:rPr>
                <w:rFonts w:ascii="宋体" w:hAnsi="宋体" w:eastAsia="宋体" w:cs="宋体"/>
                <w:b w:val="0"/>
                <w:bCs/>
                <w:sz w:val="21"/>
                <w:szCs w:val="21"/>
              </w:rPr>
              <w:t>‌</w:t>
            </w:r>
          </w:p>
        </w:tc>
      </w:tr>
      <w:tr w14:paraId="27B7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4" w:type="dxa"/>
            <w:vAlign w:val="center"/>
          </w:tcPr>
          <w:p w14:paraId="0F497FE6">
            <w:pPr>
              <w:pStyle w:val="5"/>
              <w:snapToGrid w:val="0"/>
              <w:spacing w:line="360" w:lineRule="auto"/>
              <w:contextualSpacing/>
              <w:jc w:val="center"/>
              <w:rPr>
                <w:rFonts w:asciiTheme="minorEastAsia" w:hAnsiTheme="minorEastAsia" w:eastAsiaTheme="minorEastAsia" w:cstheme="minorEastAsia"/>
                <w:b w:val="0"/>
                <w:bCs/>
                <w:sz w:val="21"/>
                <w:szCs w:val="21"/>
                <w:shd w:val="clear" w:color="auto" w:fill="FFFFFF"/>
              </w:rPr>
            </w:pPr>
            <w:r>
              <w:rPr>
                <w:rStyle w:val="9"/>
                <w:rFonts w:ascii="宋体" w:hAnsi="宋体" w:eastAsia="宋体" w:cs="宋体"/>
                <w:b w:val="0"/>
                <w:bCs/>
                <w:sz w:val="21"/>
                <w:szCs w:val="21"/>
              </w:rPr>
              <w:t>中国法与社会</w:t>
            </w:r>
            <w:r>
              <w:rPr>
                <w:rFonts w:ascii="宋体" w:hAnsi="宋体" w:eastAsia="宋体" w:cs="宋体"/>
                <w:b w:val="0"/>
                <w:bCs/>
                <w:sz w:val="21"/>
                <w:szCs w:val="21"/>
              </w:rPr>
              <w:t>‌</w:t>
            </w:r>
          </w:p>
        </w:tc>
        <w:tc>
          <w:tcPr>
            <w:tcW w:w="2070" w:type="dxa"/>
            <w:vAlign w:val="center"/>
          </w:tcPr>
          <w:p w14:paraId="3866D586">
            <w:pPr>
              <w:pStyle w:val="5"/>
              <w:snapToGrid w:val="0"/>
              <w:spacing w:line="360" w:lineRule="auto"/>
              <w:contextualSpacing/>
              <w:jc w:val="center"/>
              <w:rPr>
                <w:rFonts w:asciiTheme="minorEastAsia" w:hAnsiTheme="minorEastAsia" w:eastAsiaTheme="minorEastAsia" w:cstheme="minorEastAsia"/>
                <w:b w:val="0"/>
                <w:bCs/>
                <w:sz w:val="21"/>
                <w:szCs w:val="21"/>
                <w:shd w:val="clear" w:color="auto" w:fill="FFFFFF"/>
              </w:rPr>
            </w:pPr>
            <w:r>
              <w:rPr>
                <w:rStyle w:val="9"/>
                <w:rFonts w:ascii="宋体" w:hAnsi="宋体" w:eastAsia="宋体" w:cs="宋体"/>
                <w:b w:val="0"/>
                <w:bCs/>
                <w:sz w:val="21"/>
                <w:szCs w:val="21"/>
              </w:rPr>
              <w:t>中国公司法</w:t>
            </w:r>
            <w:r>
              <w:rPr>
                <w:rFonts w:ascii="宋体" w:hAnsi="宋体" w:eastAsia="宋体" w:cs="宋体"/>
                <w:b w:val="0"/>
                <w:bCs/>
                <w:sz w:val="21"/>
                <w:szCs w:val="21"/>
              </w:rPr>
              <w:t>‌‌</w:t>
            </w:r>
          </w:p>
        </w:tc>
        <w:tc>
          <w:tcPr>
            <w:tcW w:w="3584" w:type="dxa"/>
            <w:vAlign w:val="center"/>
          </w:tcPr>
          <w:p w14:paraId="786E584E">
            <w:pPr>
              <w:pStyle w:val="5"/>
              <w:snapToGrid w:val="0"/>
              <w:spacing w:line="360" w:lineRule="auto"/>
              <w:contextualSpacing/>
              <w:jc w:val="center"/>
              <w:rPr>
                <w:rFonts w:hint="default" w:asciiTheme="minorEastAsia" w:hAnsiTheme="minorEastAsia" w:eastAsiaTheme="minorEastAsia" w:cstheme="minorEastAsia"/>
                <w:b w:val="0"/>
                <w:bCs/>
                <w:sz w:val="21"/>
                <w:szCs w:val="21"/>
                <w:shd w:val="clear" w:color="auto" w:fill="FFFFFF"/>
                <w:lang w:val="en-US" w:eastAsia="zh-CN"/>
              </w:rPr>
            </w:pPr>
          </w:p>
        </w:tc>
      </w:tr>
    </w:tbl>
    <w:p w14:paraId="2EAECE33">
      <w:pPr>
        <w:widowControl w:val="0"/>
        <w:numPr>
          <w:ilvl w:val="0"/>
          <w:numId w:val="0"/>
        </w:numPr>
        <w:jc w:val="both"/>
        <w:rPr>
          <w:rFonts w:hint="eastAsia" w:eastAsia="宋体"/>
          <w:b/>
          <w:bCs/>
          <w:sz w:val="24"/>
          <w:lang w:val="en-US" w:eastAsia="zh-CN"/>
        </w:rPr>
      </w:pPr>
    </w:p>
    <w:p w14:paraId="4FBB14B7">
      <w:pPr>
        <w:spacing w:before="162" w:line="215" w:lineRule="auto"/>
        <w:ind w:right="104" w:firstLine="1060" w:firstLineChars="500"/>
        <w:jc w:val="both"/>
        <w:rPr>
          <w:rFonts w:hint="eastAsia" w:ascii="仿宋" w:hAnsi="仿宋" w:cs="仿宋" w:eastAsia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注：以上课程会根据实际情况进行调整，以当学期实际课表为准。</w:t>
      </w:r>
    </w:p>
    <w:p w14:paraId="1336D888">
      <w:pPr>
        <w:widowControl w:val="0"/>
        <w:numPr>
          <w:ilvl w:val="0"/>
          <w:numId w:val="0"/>
        </w:numPr>
        <w:jc w:val="both"/>
        <w:rPr>
          <w:rFonts w:hint="eastAsia" w:eastAsia="宋体"/>
          <w:b/>
          <w:bCs/>
          <w:sz w:val="24"/>
          <w:lang w:val="en-US" w:eastAsia="zh-CN"/>
        </w:rPr>
      </w:pPr>
    </w:p>
    <w:p w14:paraId="22FEF496">
      <w:pPr>
        <w:widowControl w:val="0"/>
        <w:numPr>
          <w:ilvl w:val="0"/>
          <w:numId w:val="0"/>
        </w:numPr>
        <w:jc w:val="both"/>
        <w:rPr>
          <w:rFonts w:hint="eastAsia" w:eastAsia="宋体"/>
          <w:b/>
          <w:bCs/>
          <w:sz w:val="24"/>
          <w:lang w:val="en-US" w:eastAsia="zh-CN"/>
        </w:rPr>
      </w:pPr>
    </w:p>
    <w:p w14:paraId="2AB2CFA7">
      <w:pPr>
        <w:numPr>
          <w:ilvl w:val="0"/>
          <w:numId w:val="1"/>
        </w:numPr>
        <w:rPr>
          <w:rFonts w:hint="eastAsia" w:eastAsia="宋体"/>
          <w:b/>
          <w:bCs/>
          <w:sz w:val="24"/>
          <w:lang w:val="en-US" w:eastAsia="zh-CN"/>
        </w:rPr>
      </w:pPr>
      <w:r>
        <w:rPr>
          <w:rFonts w:hint="eastAsia" w:eastAsia="宋体"/>
          <w:b/>
          <w:bCs/>
          <w:sz w:val="24"/>
          <w:lang w:val="en-US" w:eastAsia="zh-CN"/>
        </w:rPr>
        <w:t>报考条件：</w:t>
      </w:r>
    </w:p>
    <w:p w14:paraId="660C4F05">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1、</w:t>
      </w:r>
      <w:r>
        <w:rPr>
          <w:rFonts w:hint="eastAsia" w:ascii="仿宋" w:hAnsi="仿宋" w:cs="仿宋" w:eastAsiaTheme="minorEastAsia"/>
          <w:b w:val="0"/>
          <w:bCs w:val="0"/>
          <w:color w:val="000000"/>
          <w:spacing w:val="1"/>
          <w:kern w:val="2"/>
          <w:sz w:val="21"/>
          <w:szCs w:val="21"/>
          <w:lang w:val="en-US" w:eastAsia="zh-CN" w:bidi="ar-SA"/>
        </w:rPr>
        <w:t>拥护中国共产党的领导，遵纪守法，品德良好，身体健康</w:t>
      </w:r>
    </w:p>
    <w:p w14:paraId="21290DAD">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2、</w:t>
      </w:r>
      <w:r>
        <w:rPr>
          <w:rFonts w:hint="eastAsia" w:ascii="仿宋" w:hAnsi="仿宋" w:cs="仿宋" w:eastAsiaTheme="minorEastAsia"/>
          <w:b w:val="0"/>
          <w:bCs w:val="0"/>
          <w:color w:val="000000"/>
          <w:spacing w:val="1"/>
          <w:kern w:val="2"/>
          <w:sz w:val="21"/>
          <w:szCs w:val="21"/>
          <w:lang w:val="en-US" w:eastAsia="zh-CN" w:bidi="ar-SA"/>
        </w:rPr>
        <w:t>获得学士学位已满两年，原专业不限；</w:t>
      </w:r>
    </w:p>
    <w:p w14:paraId="05319507">
      <w:pPr>
        <w:spacing w:before="162" w:line="215" w:lineRule="auto"/>
        <w:ind w:right="104"/>
        <w:jc w:val="both"/>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3、</w:t>
      </w:r>
      <w:r>
        <w:rPr>
          <w:rFonts w:hint="eastAsia" w:ascii="仿宋" w:hAnsi="仿宋" w:cs="仿宋" w:eastAsiaTheme="minorEastAsia"/>
          <w:b w:val="0"/>
          <w:bCs w:val="0"/>
          <w:color w:val="000000"/>
          <w:spacing w:val="1"/>
          <w:kern w:val="2"/>
          <w:sz w:val="21"/>
          <w:szCs w:val="21"/>
          <w:lang w:val="en-US" w:eastAsia="zh-CN" w:bidi="ar-SA"/>
        </w:rPr>
        <w:t>虽无学士学位但已获得硕士或博士学位者。对已获得的学士、硕士或博士学位为国(境)外学位的，其所获的国(境)外学位需经教育部留学服务中心认证。</w:t>
      </w:r>
    </w:p>
    <w:p w14:paraId="217014A9">
      <w:pPr>
        <w:widowControl w:val="0"/>
        <w:numPr>
          <w:ilvl w:val="0"/>
          <w:numId w:val="0"/>
        </w:numPr>
        <w:jc w:val="both"/>
        <w:rPr>
          <w:rFonts w:hint="eastAsia" w:eastAsia="宋体"/>
          <w:b/>
          <w:bCs/>
          <w:sz w:val="24"/>
          <w:lang w:val="en-US" w:eastAsia="zh-CN"/>
        </w:rPr>
      </w:pPr>
    </w:p>
    <w:p w14:paraId="60D27B74">
      <w:pPr>
        <w:widowControl w:val="0"/>
        <w:numPr>
          <w:ilvl w:val="0"/>
          <w:numId w:val="0"/>
        </w:numPr>
        <w:jc w:val="both"/>
        <w:rPr>
          <w:rFonts w:hint="eastAsia" w:eastAsia="宋体"/>
          <w:b/>
          <w:bCs/>
          <w:sz w:val="24"/>
          <w:lang w:val="en-US" w:eastAsia="zh-CN"/>
        </w:rPr>
      </w:pPr>
    </w:p>
    <w:p w14:paraId="6D3A6AF6">
      <w:pPr>
        <w:widowControl w:val="0"/>
        <w:numPr>
          <w:ilvl w:val="0"/>
          <w:numId w:val="0"/>
        </w:numPr>
        <w:jc w:val="both"/>
        <w:rPr>
          <w:rFonts w:hint="eastAsia" w:eastAsia="宋体"/>
          <w:b/>
          <w:bCs/>
          <w:sz w:val="24"/>
          <w:lang w:val="en-US" w:eastAsia="zh-CN"/>
        </w:rPr>
      </w:pPr>
    </w:p>
    <w:p w14:paraId="5A3A2DDF">
      <w:pPr>
        <w:numPr>
          <w:ilvl w:val="0"/>
          <w:numId w:val="1"/>
        </w:numPr>
        <w:rPr>
          <w:rFonts w:hint="eastAsia" w:eastAsia="宋体"/>
          <w:b/>
          <w:bCs/>
          <w:sz w:val="24"/>
          <w:lang w:val="en-US" w:eastAsia="zh-CN"/>
        </w:rPr>
      </w:pPr>
      <w:r>
        <w:rPr>
          <w:rFonts w:hint="eastAsia" w:eastAsia="宋体"/>
          <w:b/>
          <w:bCs/>
          <w:sz w:val="24"/>
          <w:lang w:val="en-US" w:eastAsia="zh-CN"/>
        </w:rPr>
        <w:t>培养方式和学制：</w:t>
      </w:r>
    </w:p>
    <w:p w14:paraId="2C142D64">
      <w:pPr>
        <w:spacing w:line="360" w:lineRule="auto"/>
        <w:rPr>
          <w:rFonts w:eastAsia="宋体"/>
          <w:sz w:val="21"/>
          <w:szCs w:val="21"/>
        </w:rPr>
      </w:pPr>
      <w:r>
        <w:rPr>
          <w:rFonts w:hint="eastAsia" w:eastAsia="宋体"/>
          <w:sz w:val="21"/>
          <w:szCs w:val="21"/>
          <w:lang w:val="en-US" w:eastAsia="zh-CN"/>
        </w:rPr>
        <w:t>1、</w:t>
      </w:r>
      <w:r>
        <w:rPr>
          <w:rFonts w:hint="eastAsia" w:eastAsia="宋体"/>
          <w:sz w:val="21"/>
          <w:szCs w:val="21"/>
        </w:rPr>
        <w:t>授课方式：线上（录播或直播）与线下讲座相结合</w:t>
      </w:r>
    </w:p>
    <w:p w14:paraId="1948F870">
      <w:pPr>
        <w:spacing w:line="360" w:lineRule="auto"/>
        <w:rPr>
          <w:rFonts w:eastAsia="宋体"/>
          <w:sz w:val="21"/>
          <w:szCs w:val="21"/>
        </w:rPr>
      </w:pPr>
      <w:r>
        <w:rPr>
          <w:rFonts w:hint="eastAsia" w:eastAsia="宋体"/>
          <w:sz w:val="21"/>
          <w:szCs w:val="21"/>
          <w:lang w:val="en-US" w:eastAsia="zh-CN"/>
        </w:rPr>
        <w:t>2、</w:t>
      </w:r>
      <w:r>
        <w:rPr>
          <w:rFonts w:hint="eastAsia" w:eastAsia="宋体"/>
          <w:sz w:val="21"/>
          <w:szCs w:val="21"/>
        </w:rPr>
        <w:t>学制：2年</w:t>
      </w:r>
    </w:p>
    <w:p w14:paraId="3220FE09">
      <w:pPr>
        <w:widowControl w:val="0"/>
        <w:numPr>
          <w:ilvl w:val="0"/>
          <w:numId w:val="0"/>
        </w:numPr>
        <w:jc w:val="both"/>
        <w:rPr>
          <w:rFonts w:hint="eastAsia" w:eastAsia="宋体"/>
          <w:b/>
          <w:bCs/>
          <w:sz w:val="24"/>
          <w:lang w:val="en-US" w:eastAsia="zh-CN"/>
        </w:rPr>
      </w:pPr>
    </w:p>
    <w:p w14:paraId="651B7443">
      <w:pPr>
        <w:widowControl w:val="0"/>
        <w:numPr>
          <w:ilvl w:val="0"/>
          <w:numId w:val="0"/>
        </w:numPr>
        <w:jc w:val="both"/>
        <w:rPr>
          <w:rFonts w:hint="eastAsia" w:eastAsia="宋体"/>
          <w:b/>
          <w:bCs/>
          <w:sz w:val="24"/>
          <w:lang w:val="en-US" w:eastAsia="zh-CN"/>
        </w:rPr>
      </w:pPr>
    </w:p>
    <w:p w14:paraId="53D2D554">
      <w:pPr>
        <w:numPr>
          <w:ilvl w:val="0"/>
          <w:numId w:val="1"/>
        </w:numPr>
        <w:rPr>
          <w:rFonts w:hint="eastAsia" w:eastAsia="宋体"/>
          <w:b/>
          <w:bCs/>
          <w:sz w:val="24"/>
          <w:lang w:val="en-US" w:eastAsia="zh-CN"/>
        </w:rPr>
      </w:pPr>
      <w:r>
        <w:rPr>
          <w:rFonts w:hint="eastAsia" w:eastAsia="宋体"/>
          <w:b/>
          <w:bCs/>
          <w:sz w:val="24"/>
          <w:lang w:val="en-US" w:eastAsia="zh-CN"/>
        </w:rPr>
        <w:t>报名材料：</w:t>
      </w:r>
    </w:p>
    <w:p w14:paraId="31C5D053">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1、</w:t>
      </w:r>
      <w:r>
        <w:rPr>
          <w:rFonts w:hint="eastAsia" w:ascii="仿宋" w:hAnsi="仿宋" w:cs="仿宋" w:eastAsiaTheme="minorEastAsia"/>
          <w:b w:val="0"/>
          <w:bCs w:val="0"/>
          <w:color w:val="000000"/>
          <w:spacing w:val="1"/>
          <w:kern w:val="2"/>
          <w:sz w:val="21"/>
          <w:szCs w:val="21"/>
          <w:lang w:val="en-US" w:eastAsia="zh-CN" w:bidi="ar-SA"/>
        </w:rPr>
        <w:t>学员</w:t>
      </w:r>
      <w:r>
        <w:rPr>
          <w:rFonts w:hint="eastAsia" w:ascii="仿宋" w:hAnsi="仿宋" w:cs="仿宋"/>
          <w:b w:val="0"/>
          <w:bCs w:val="0"/>
          <w:color w:val="000000"/>
          <w:spacing w:val="1"/>
          <w:kern w:val="2"/>
          <w:sz w:val="21"/>
          <w:szCs w:val="21"/>
          <w:lang w:val="en-US" w:eastAsia="zh-CN" w:bidi="ar-SA"/>
        </w:rPr>
        <w:t>报名</w:t>
      </w:r>
      <w:r>
        <w:rPr>
          <w:rFonts w:hint="eastAsia" w:ascii="仿宋" w:hAnsi="仿宋" w:cs="仿宋" w:eastAsiaTheme="minorEastAsia"/>
          <w:b w:val="0"/>
          <w:bCs w:val="0"/>
          <w:color w:val="000000"/>
          <w:spacing w:val="1"/>
          <w:kern w:val="2"/>
          <w:sz w:val="21"/>
          <w:szCs w:val="21"/>
          <w:lang w:val="en-US" w:eastAsia="zh-CN" w:bidi="ar-SA"/>
        </w:rPr>
        <w:t>登记表一份</w:t>
      </w:r>
      <w:r>
        <w:rPr>
          <w:rFonts w:hint="eastAsia" w:ascii="仿宋" w:hAnsi="仿宋" w:cs="仿宋"/>
          <w:b w:val="0"/>
          <w:bCs w:val="0"/>
          <w:color w:val="000000"/>
          <w:spacing w:val="1"/>
          <w:kern w:val="2"/>
          <w:sz w:val="21"/>
          <w:szCs w:val="21"/>
          <w:lang w:val="en-US" w:eastAsia="zh-CN" w:bidi="ar-SA"/>
        </w:rPr>
        <w:t>；</w:t>
      </w:r>
    </w:p>
    <w:p w14:paraId="2A2BFF29">
      <w:pPr>
        <w:spacing w:before="162" w:line="215" w:lineRule="auto"/>
        <w:ind w:right="104"/>
        <w:jc w:val="left"/>
        <w:rPr>
          <w:rFonts w:hint="eastAsia" w:ascii="仿宋" w:hAnsi="仿宋" w:cs="仿宋"/>
          <w:b w:val="0"/>
          <w:bCs w:val="0"/>
          <w:color w:val="000000"/>
          <w:spacing w:val="1"/>
          <w:kern w:val="2"/>
          <w:sz w:val="21"/>
          <w:szCs w:val="21"/>
          <w:lang w:val="en-US" w:eastAsia="zh-CN" w:bidi="ar-SA"/>
        </w:rPr>
      </w:pPr>
      <w:r>
        <w:rPr>
          <w:rFonts w:hint="eastAsia" w:eastAsia="宋体"/>
          <w:sz w:val="21"/>
          <w:szCs w:val="21"/>
          <w:lang w:val="en-US" w:eastAsia="zh-CN"/>
        </w:rPr>
        <w:t>2、</w:t>
      </w:r>
      <w:r>
        <w:rPr>
          <w:rFonts w:hint="eastAsia" w:ascii="仿宋" w:hAnsi="仿宋" w:cs="仿宋" w:eastAsiaTheme="minorEastAsia"/>
          <w:b w:val="0"/>
          <w:bCs w:val="0"/>
          <w:color w:val="000000"/>
          <w:spacing w:val="1"/>
          <w:kern w:val="2"/>
          <w:sz w:val="21"/>
          <w:szCs w:val="21"/>
          <w:lang w:val="en-US" w:eastAsia="zh-CN" w:bidi="ar-SA"/>
        </w:rPr>
        <w:t>本人身份证</w:t>
      </w:r>
      <w:r>
        <w:rPr>
          <w:rFonts w:hint="eastAsia" w:ascii="仿宋" w:hAnsi="仿宋" w:cs="仿宋"/>
          <w:b w:val="0"/>
          <w:bCs w:val="0"/>
          <w:color w:val="000000"/>
          <w:spacing w:val="1"/>
          <w:kern w:val="2"/>
          <w:sz w:val="21"/>
          <w:szCs w:val="21"/>
          <w:lang w:val="en-US" w:eastAsia="zh-CN" w:bidi="ar-SA"/>
        </w:rPr>
        <w:t>复印件1份；</w:t>
      </w:r>
    </w:p>
    <w:p w14:paraId="0E79FB3D">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3、</w:t>
      </w:r>
      <w:r>
        <w:rPr>
          <w:rFonts w:hint="eastAsia" w:ascii="仿宋" w:hAnsi="仿宋" w:cs="仿宋" w:eastAsiaTheme="minorEastAsia"/>
          <w:b w:val="0"/>
          <w:bCs w:val="0"/>
          <w:color w:val="000000"/>
          <w:spacing w:val="1"/>
          <w:kern w:val="2"/>
          <w:sz w:val="21"/>
          <w:szCs w:val="21"/>
          <w:lang w:val="en-US" w:eastAsia="zh-CN" w:bidi="ar-SA"/>
        </w:rPr>
        <w:t>本科学历、学士学位证书、学历学位学信网认证表材料复印件各一份；</w:t>
      </w:r>
    </w:p>
    <w:p w14:paraId="3B4F11FE">
      <w:pPr>
        <w:spacing w:before="162" w:line="215" w:lineRule="auto"/>
        <w:ind w:right="104"/>
        <w:jc w:val="left"/>
        <w:rPr>
          <w:rFonts w:hint="eastAsia" w:ascii="仿宋" w:hAnsi="仿宋" w:cs="仿宋" w:eastAsiaTheme="minorEastAsia"/>
          <w:b w:val="0"/>
          <w:bCs w:val="0"/>
          <w:color w:val="000000"/>
          <w:spacing w:val="1"/>
          <w:kern w:val="2"/>
          <w:sz w:val="21"/>
          <w:szCs w:val="21"/>
          <w:lang w:val="en-US" w:eastAsia="zh-CN" w:bidi="ar-SA"/>
        </w:rPr>
      </w:pPr>
      <w:r>
        <w:rPr>
          <w:rFonts w:hint="eastAsia" w:eastAsia="宋体"/>
          <w:sz w:val="21"/>
          <w:szCs w:val="21"/>
          <w:lang w:val="en-US" w:eastAsia="zh-CN"/>
        </w:rPr>
        <w:t>4、</w:t>
      </w:r>
      <w:r>
        <w:rPr>
          <w:rFonts w:hint="eastAsia" w:ascii="仿宋" w:hAnsi="仿宋" w:cs="仿宋" w:eastAsiaTheme="minorEastAsia"/>
          <w:b w:val="0"/>
          <w:bCs w:val="0"/>
          <w:color w:val="000000"/>
          <w:spacing w:val="1"/>
          <w:kern w:val="2"/>
          <w:sz w:val="21"/>
          <w:szCs w:val="21"/>
          <w:lang w:val="en-US" w:eastAsia="zh-CN" w:bidi="ar-SA"/>
        </w:rPr>
        <w:t>二寸免冠照片4张。</w:t>
      </w:r>
    </w:p>
    <w:p w14:paraId="11120674">
      <w:pPr>
        <w:widowControl w:val="0"/>
        <w:numPr>
          <w:ilvl w:val="0"/>
          <w:numId w:val="0"/>
        </w:numPr>
        <w:jc w:val="both"/>
        <w:rPr>
          <w:rFonts w:hint="eastAsia" w:eastAsia="宋体"/>
          <w:b/>
          <w:bCs/>
          <w:sz w:val="24"/>
          <w:lang w:val="en-US" w:eastAsia="zh-CN"/>
        </w:rPr>
      </w:pPr>
    </w:p>
    <w:p w14:paraId="604C0D77">
      <w:pPr>
        <w:widowControl w:val="0"/>
        <w:numPr>
          <w:ilvl w:val="0"/>
          <w:numId w:val="0"/>
        </w:numPr>
        <w:jc w:val="both"/>
        <w:rPr>
          <w:rFonts w:hint="eastAsia" w:eastAsia="宋体"/>
          <w:b/>
          <w:bCs/>
          <w:sz w:val="24"/>
          <w:lang w:val="en-US" w:eastAsia="zh-CN"/>
        </w:rPr>
      </w:pPr>
    </w:p>
    <w:p w14:paraId="2822EFF4">
      <w:pPr>
        <w:numPr>
          <w:ilvl w:val="0"/>
          <w:numId w:val="1"/>
        </w:numPr>
        <w:rPr>
          <w:rFonts w:eastAsia="宋体"/>
          <w:b/>
          <w:bCs/>
          <w:sz w:val="24"/>
        </w:rPr>
      </w:pPr>
      <w:r>
        <w:rPr>
          <w:rFonts w:hint="eastAsia" w:eastAsia="宋体"/>
          <w:b/>
          <w:bCs/>
          <w:sz w:val="24"/>
          <w:lang w:val="en-US" w:eastAsia="zh-CN"/>
        </w:rPr>
        <w:t>报名费用：</w:t>
      </w:r>
    </w:p>
    <w:p w14:paraId="2FAF0E28">
      <w:pPr>
        <w:widowControl w:val="0"/>
        <w:numPr>
          <w:ilvl w:val="0"/>
          <w:numId w:val="0"/>
        </w:numPr>
        <w:jc w:val="both"/>
        <w:rPr>
          <w:rFonts w:hint="eastAsia" w:eastAsia="宋体"/>
          <w:b/>
          <w:bCs/>
          <w:sz w:val="24"/>
          <w:lang w:val="en-US" w:eastAsia="zh-CN"/>
        </w:rPr>
      </w:pPr>
    </w:p>
    <w:p w14:paraId="0D8CFE3D">
      <w:pPr>
        <w:spacing w:before="162" w:line="215" w:lineRule="auto"/>
        <w:ind w:right="104"/>
        <w:jc w:val="both"/>
        <w:rPr>
          <w:rFonts w:hint="eastAsia" w:asciiTheme="minorEastAsia" w:hAnsiTheme="minorEastAsia" w:eastAsiaTheme="minorEastAsia" w:cstheme="minorEastAsia"/>
          <w:b w:val="0"/>
          <w:bCs w:val="0"/>
          <w:color w:val="000000"/>
          <w:spacing w:val="1"/>
          <w:kern w:val="2"/>
          <w:sz w:val="21"/>
          <w:szCs w:val="21"/>
          <w:lang w:val="en-US" w:eastAsia="zh-CN" w:bidi="ar-SA"/>
        </w:rPr>
      </w:pPr>
      <w:r>
        <w:rPr>
          <w:rFonts w:hint="eastAsia" w:ascii="仿宋" w:hAnsi="仿宋" w:cs="仿宋" w:eastAsiaTheme="minorEastAsia"/>
          <w:b w:val="0"/>
          <w:bCs w:val="0"/>
          <w:color w:val="000000"/>
          <w:spacing w:val="1"/>
          <w:kern w:val="2"/>
          <w:sz w:val="21"/>
          <w:szCs w:val="21"/>
          <w:lang w:val="en-US" w:eastAsia="zh-CN" w:bidi="ar-SA"/>
        </w:rPr>
        <w:t>1、学费：</w:t>
      </w:r>
      <w:r>
        <w:rPr>
          <w:rFonts w:hint="eastAsia" w:ascii="仿宋" w:hAnsi="仿宋" w:cs="仿宋"/>
          <w:b w:val="0"/>
          <w:bCs w:val="0"/>
          <w:color w:val="000000"/>
          <w:spacing w:val="1"/>
          <w:kern w:val="2"/>
          <w:sz w:val="21"/>
          <w:szCs w:val="21"/>
          <w:lang w:val="en-US" w:eastAsia="zh-CN" w:bidi="ar-SA"/>
        </w:rPr>
        <w:t>4</w:t>
      </w:r>
      <w:r>
        <w:rPr>
          <w:rFonts w:hint="eastAsia" w:asciiTheme="minorEastAsia" w:hAnsiTheme="minorEastAsia" w:cstheme="minorEastAsia"/>
          <w:b w:val="0"/>
          <w:bCs w:val="0"/>
          <w:color w:val="000000"/>
          <w:spacing w:val="1"/>
          <w:kern w:val="2"/>
          <w:sz w:val="21"/>
          <w:szCs w:val="21"/>
          <w:lang w:val="en-US" w:eastAsia="zh-CN" w:bidi="ar-SA"/>
        </w:rPr>
        <w:t>5</w:t>
      </w:r>
      <w:r>
        <w:rPr>
          <w:rFonts w:hint="eastAsia" w:asciiTheme="minorEastAsia" w:hAnsiTheme="minorEastAsia" w:eastAsiaTheme="minorEastAsia" w:cstheme="minorEastAsia"/>
          <w:b w:val="0"/>
          <w:bCs w:val="0"/>
          <w:color w:val="000000"/>
          <w:spacing w:val="1"/>
          <w:kern w:val="2"/>
          <w:sz w:val="21"/>
          <w:szCs w:val="21"/>
          <w:lang w:val="en-US" w:eastAsia="zh-CN" w:bidi="ar-SA"/>
        </w:rPr>
        <w:t>000元</w:t>
      </w:r>
    </w:p>
    <w:p w14:paraId="77FE6F18">
      <w:pPr>
        <w:spacing w:before="162" w:line="215" w:lineRule="auto"/>
        <w:ind w:right="104"/>
        <w:jc w:val="both"/>
        <w:rPr>
          <w:rFonts w:hint="eastAsia" w:asciiTheme="minorEastAsia" w:hAnsiTheme="minorEastAsia" w:eastAsiaTheme="minorEastAsia" w:cstheme="minorEastAsia"/>
          <w:b w:val="0"/>
          <w:bCs w:val="0"/>
          <w:color w:val="000000"/>
          <w:spacing w:val="1"/>
          <w:kern w:val="2"/>
          <w:sz w:val="21"/>
          <w:szCs w:val="21"/>
          <w:lang w:val="en-US" w:eastAsia="zh-CN" w:bidi="ar-SA"/>
        </w:rPr>
      </w:pPr>
      <w:r>
        <w:rPr>
          <w:rFonts w:hint="eastAsia" w:asciiTheme="minorEastAsia" w:hAnsiTheme="minorEastAsia" w:eastAsiaTheme="minorEastAsia" w:cstheme="minorEastAsia"/>
          <w:b w:val="0"/>
          <w:bCs w:val="0"/>
          <w:color w:val="000000"/>
          <w:spacing w:val="1"/>
          <w:kern w:val="2"/>
          <w:sz w:val="21"/>
          <w:szCs w:val="21"/>
          <w:lang w:val="en-US" w:eastAsia="zh-CN" w:bidi="ar-SA"/>
        </w:rPr>
        <w:t>2、</w:t>
      </w:r>
      <w:r>
        <w:rPr>
          <w:rFonts w:hint="eastAsia" w:ascii="仿宋" w:hAnsi="仿宋" w:cs="仿宋" w:eastAsiaTheme="minorEastAsia"/>
          <w:b w:val="0"/>
          <w:bCs w:val="0"/>
          <w:color w:val="000000"/>
          <w:spacing w:val="1"/>
          <w:kern w:val="2"/>
          <w:sz w:val="21"/>
          <w:szCs w:val="21"/>
          <w:lang w:val="en-US" w:eastAsia="zh-CN" w:bidi="ar-SA"/>
        </w:rPr>
        <w:t>答辩费：</w:t>
      </w:r>
      <w:r>
        <w:rPr>
          <w:rFonts w:hint="eastAsia" w:asciiTheme="minorEastAsia" w:hAnsiTheme="minorEastAsia" w:eastAsiaTheme="minorEastAsia" w:cstheme="minorEastAsia"/>
          <w:b w:val="0"/>
          <w:bCs w:val="0"/>
          <w:color w:val="000000"/>
          <w:spacing w:val="1"/>
          <w:kern w:val="2"/>
          <w:sz w:val="21"/>
          <w:szCs w:val="21"/>
          <w:lang w:val="en-US" w:eastAsia="zh-CN" w:bidi="ar-SA"/>
        </w:rPr>
        <w:t>8000元</w:t>
      </w:r>
    </w:p>
    <w:p w14:paraId="1313BF55">
      <w:pPr>
        <w:widowControl w:val="0"/>
        <w:numPr>
          <w:ilvl w:val="0"/>
          <w:numId w:val="0"/>
        </w:numPr>
        <w:jc w:val="both"/>
        <w:rPr>
          <w:rFonts w:hint="eastAsia" w:eastAsia="宋体"/>
          <w:b/>
          <w:bCs/>
          <w:sz w:val="24"/>
          <w:lang w:val="en-US" w:eastAsia="zh-CN"/>
        </w:rPr>
      </w:pPr>
    </w:p>
    <w:p w14:paraId="7056F9A4">
      <w:pPr>
        <w:widowControl w:val="0"/>
        <w:numPr>
          <w:ilvl w:val="0"/>
          <w:numId w:val="0"/>
        </w:numPr>
        <w:jc w:val="both"/>
        <w:rPr>
          <w:rFonts w:hint="eastAsia" w:eastAsia="宋体"/>
          <w:b/>
          <w:bCs/>
          <w:sz w:val="24"/>
          <w:lang w:val="en-US" w:eastAsia="zh-CN"/>
        </w:rPr>
      </w:pPr>
    </w:p>
    <w:p w14:paraId="7B786C47">
      <w:pPr>
        <w:numPr>
          <w:ilvl w:val="0"/>
          <w:numId w:val="1"/>
        </w:numPr>
        <w:rPr>
          <w:rFonts w:eastAsia="宋体"/>
          <w:b/>
          <w:bCs/>
          <w:sz w:val="24"/>
        </w:rPr>
      </w:pPr>
      <w:r>
        <w:rPr>
          <w:rFonts w:hint="eastAsia" w:eastAsia="宋体"/>
          <w:b/>
          <w:bCs/>
          <w:sz w:val="24"/>
          <w:lang w:val="en-US" w:eastAsia="zh-CN"/>
        </w:rPr>
        <w:t>获取证书：</w:t>
      </w:r>
    </w:p>
    <w:p w14:paraId="4DC97E68">
      <w:pPr>
        <w:spacing w:line="360" w:lineRule="auto"/>
        <w:rPr>
          <w:rFonts w:eastAsia="宋体"/>
          <w:sz w:val="21"/>
          <w:szCs w:val="21"/>
        </w:rPr>
      </w:pPr>
      <w:r>
        <w:rPr>
          <w:rFonts w:hint="eastAsia" w:eastAsia="宋体"/>
          <w:sz w:val="21"/>
          <w:szCs w:val="21"/>
        </w:rPr>
        <w:t>1、学员完成课程学习且成绩合格，由学校颁发</w:t>
      </w:r>
      <w:r>
        <w:rPr>
          <w:rFonts w:hint="eastAsia" w:eastAsia="宋体"/>
          <w:sz w:val="21"/>
          <w:szCs w:val="21"/>
          <w:lang w:val="en-US" w:eastAsia="zh-CN"/>
        </w:rPr>
        <w:t>华东政法大学</w:t>
      </w:r>
      <w:r>
        <w:rPr>
          <w:rFonts w:hint="eastAsia" w:eastAsia="宋体"/>
          <w:sz w:val="21"/>
          <w:szCs w:val="21"/>
        </w:rPr>
        <w:t xml:space="preserve">研究生课程进修班结业证书； </w:t>
      </w:r>
    </w:p>
    <w:p w14:paraId="0406715A">
      <w:pPr>
        <w:spacing w:line="360" w:lineRule="auto"/>
        <w:rPr>
          <w:rFonts w:eastAsia="宋体"/>
          <w:b/>
          <w:bCs/>
          <w:sz w:val="21"/>
          <w:szCs w:val="21"/>
        </w:rPr>
      </w:pPr>
      <w:r>
        <w:rPr>
          <w:rFonts w:hint="eastAsia" w:eastAsia="宋体"/>
          <w:sz w:val="21"/>
          <w:szCs w:val="21"/>
        </w:rPr>
        <w:t>2、满足同等学力申请硕士学位条件学员可申请申硕考试，成绩合格可获取</w:t>
      </w:r>
      <w:r>
        <w:rPr>
          <w:rFonts w:hint="eastAsia" w:eastAsia="宋体"/>
          <w:sz w:val="21"/>
          <w:szCs w:val="21"/>
          <w:lang w:val="en-US" w:eastAsia="zh-CN"/>
        </w:rPr>
        <w:t>华东政法</w:t>
      </w:r>
      <w:r>
        <w:rPr>
          <w:rFonts w:hint="eastAsia" w:eastAsia="宋体"/>
          <w:sz w:val="21"/>
          <w:szCs w:val="21"/>
        </w:rPr>
        <w:t>大学硕士学位证书，学位网可查。</w:t>
      </w:r>
    </w:p>
    <w:p w14:paraId="4CF916F2">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5BC18">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17440"/>
          <wp:effectExtent l="0" t="0" r="2540" b="16510"/>
          <wp:wrapNone/>
          <wp:docPr id="2" name="WordPictureWatermark20232" descr="华东政法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0232" descr="华东政法大学LOGO"/>
                  <pic:cNvPicPr>
                    <a:picLocks noChangeAspect="1"/>
                  </pic:cNvPicPr>
                </pic:nvPicPr>
                <pic:blipFill>
                  <a:blip r:embed="rId1">
                    <a:lum bright="70000" contrast="-70000"/>
                  </a:blip>
                  <a:stretch>
                    <a:fillRect/>
                  </a:stretch>
                </pic:blipFill>
                <pic:spPr>
                  <a:xfrm>
                    <a:off x="0" y="0"/>
                    <a:ext cx="5274310" cy="4917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abstractNum w:abstractNumId="1">
    <w:nsid w:val="28E60475"/>
    <w:multiLevelType w:val="singleLevel"/>
    <w:tmpl w:val="28E6047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5E452E7C"/>
    <w:rsid w:val="032B6F76"/>
    <w:rsid w:val="198C7699"/>
    <w:rsid w:val="1C854573"/>
    <w:rsid w:val="2547125A"/>
    <w:rsid w:val="30744C88"/>
    <w:rsid w:val="37CA728F"/>
    <w:rsid w:val="3D182ED6"/>
    <w:rsid w:val="3DF0211E"/>
    <w:rsid w:val="3FF53A41"/>
    <w:rsid w:val="5E452E7C"/>
    <w:rsid w:val="7CC76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1469</Words>
  <Characters>1505</Characters>
  <Lines>0</Lines>
  <Paragraphs>0</Paragraphs>
  <TotalTime>7</TotalTime>
  <ScaleCrop>false</ScaleCrop>
  <LinksUpToDate>false</LinksUpToDate>
  <CharactersWithSpaces>1509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2023-10-17T01:11:00Z</dcterms:created>
  <dc:creator>Administrator</dc:creator>
  <cp:lastModifiedBy>Administrator</cp:lastModifiedBy>
  <dcterms:modified xsi:type="dcterms:W3CDTF">2026-01-17T02:27:17Z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9D16387B11D248C5AFB029200E5AE540_13</vt:lpwstr>
  </property>
  <property fmtid="{D5CDD505-2E9C-101B-9397-08002B2CF9AE}" pid="4" name="KSOTemplateDocerSaveRecord">
    <vt:lpwstr>eyJoZGlkIjoiMjJkYmYyOGQwNjU2YTFjYjBlYWQzZDdlZjc2Nzk1ZWYifQ==</vt:lpwstr>
  </property>
</Properties>
</file>