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5029" w14:textId="77777777" w:rsidR="00B649EA" w:rsidRDefault="00B649EA"/>
    <w:p w14:paraId="07C12AD6" w14:textId="77777777" w:rsidR="00B649EA" w:rsidRDefault="00000000">
      <w:pPr>
        <w:jc w:val="center"/>
      </w:pPr>
      <w:r>
        <w:rPr>
          <w:noProof/>
        </w:rPr>
        <w:drawing>
          <wp:inline distT="0" distB="0" distL="114300" distR="114300" wp14:anchorId="73B1FAEA" wp14:editId="0DF3D2A8">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18950379" w14:textId="77777777" w:rsidR="00B649EA"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华东交通大学岩土工程专业同等学力人员申请硕士学位</w:t>
      </w:r>
    </w:p>
    <w:p w14:paraId="27B3077C" w14:textId="77777777" w:rsidR="00B649EA"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招生简章</w:t>
      </w:r>
    </w:p>
    <w:p w14:paraId="1A32E150" w14:textId="77777777" w:rsidR="00B649EA" w:rsidRDefault="00B649EA">
      <w:pPr>
        <w:adjustRightInd w:val="0"/>
        <w:snapToGrid w:val="0"/>
        <w:spacing w:line="360" w:lineRule="auto"/>
        <w:rPr>
          <w:rFonts w:ascii="宋体" w:eastAsia="宋体" w:hAnsi="宋体" w:cs="宋体" w:hint="eastAsia"/>
          <w:color w:val="000000" w:themeColor="text1"/>
          <w:sz w:val="24"/>
        </w:rPr>
      </w:pPr>
    </w:p>
    <w:p w14:paraId="2CFA758F" w14:textId="77777777" w:rsidR="00B649EA"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1F7CAAF8" w14:textId="77777777" w:rsidR="00B649EA"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0CB7B288" w14:textId="77777777" w:rsidR="00B649EA"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土木建筑学院创建于1971年，目前下设4系7专业，其中土木工程、给排水科学与工程、建筑学通过住建部专业评估（认证）。土木工程、给排水科学与工程为国家级特色专业，建筑环境与能源应用工程为江西省品牌专业；土木工程、给排水科学与工程、工程管理、建筑学入选国家一流专业建设点，建筑环境与能源应用工程、环境工程入选江西省一流专业建设点。华东交通大学土木工程学科1993年获得硕士学位授予权，是学校最早的一级学科硕士学位授权点，“十一五”到“十三五”均为江西省示范性硕士点，2017年获批一级学科博士学位授予权，目前系江西省唯一的土木工程一级学科博士学位授权点。</w:t>
      </w:r>
    </w:p>
    <w:p w14:paraId="7E48B4FD" w14:textId="77777777" w:rsidR="00B649EA"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土木工程学科是华东交通大学“学科特区”建设学科，2020年进入全球ESI工程学科前1%，是江西省土木工程学科联盟盟主，在省一流学科建设验收中获评第一层次优秀，涵盖4个国家级一流专业。拥有江西省唯一的土木工程一级学科博士学位授予权，拥有土木工程、管理科学与工程、建筑学3个一级学科硕士学位授予权；拥有土木水利、资源与环境、工程管理（MEM）3个专业学位类别。</w:t>
      </w:r>
    </w:p>
    <w:p w14:paraId="465446D8" w14:textId="0045992B" w:rsidR="00B649EA"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岩土工程专业主要是开展复杂基坑支护理论及新型支护结构研发、隧道及地下工程设计及施工新技术、路基变形特性及软基处理技术以及边坡稳定性及处治技术等方面研究。华东交通大学土木建筑学院面向社会开设岩土工程专业同等学力人员申请硕士学位课程班，用以培养更多的岩土工程专业人才。</w:t>
      </w:r>
    </w:p>
    <w:p w14:paraId="2A2EACE7" w14:textId="77777777" w:rsidR="00B649EA" w:rsidRDefault="00B649EA">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BABEAFD" w14:textId="77777777" w:rsidR="00B649EA"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培养目标：</w:t>
      </w:r>
    </w:p>
    <w:p w14:paraId="6D62DA47" w14:textId="77777777" w:rsidR="00B649EA"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b w:val="0"/>
          <w:bCs/>
          <w:color w:val="000000" w:themeColor="text1"/>
          <w:sz w:val="21"/>
          <w:szCs w:val="21"/>
          <w:shd w:val="clear" w:color="auto" w:fill="FFFFFF"/>
        </w:rPr>
        <w:t>本专业要求学员掌握土木工程行业基础理论并具有宽广的专业视野，熟悉行业领域的相关规范，具有一定的科研能力，能够运用先进方法和现代化技术手段解决工程问题，在行业领域的某一方向具有独立担负工程规划、工程设计、工程实施、工程研究、工程开发、工程管理等专门技术工作的能力。培养具有解决工程问题的系统分析和综合能力，以及较强的继续学习能力、实践能力、创新能力和国际视野，能够胜任土木工程项目的设计、施工、研究、管理或其他工程技术工作高级专门人才。</w:t>
      </w:r>
    </w:p>
    <w:p w14:paraId="045CC4FE" w14:textId="77777777" w:rsidR="00B649EA" w:rsidRDefault="00B649EA">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5FDE6AA" w14:textId="77777777" w:rsidR="00B649EA"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B649EA" w14:paraId="5BAE83B3" w14:textId="77777777">
        <w:trPr>
          <w:trHeight w:val="454"/>
        </w:trPr>
        <w:tc>
          <w:tcPr>
            <w:tcW w:w="8522" w:type="dxa"/>
            <w:gridSpan w:val="3"/>
          </w:tcPr>
          <w:p w14:paraId="2886EFE9" w14:textId="77777777" w:rsidR="00B649EA"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岩土工程专业课程设置</w:t>
            </w:r>
          </w:p>
        </w:tc>
      </w:tr>
      <w:tr w:rsidR="00B649EA" w14:paraId="3072C585" w14:textId="77777777">
        <w:trPr>
          <w:trHeight w:val="454"/>
        </w:trPr>
        <w:tc>
          <w:tcPr>
            <w:tcW w:w="1591" w:type="dxa"/>
            <w:vMerge w:val="restart"/>
            <w:vAlign w:val="center"/>
          </w:tcPr>
          <w:p w14:paraId="50FF63DC" w14:textId="77777777" w:rsidR="00B649EA"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70A6D618" w14:textId="77777777" w:rsidR="00B649EA"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4B705B7E" w14:textId="77777777" w:rsidR="00B649EA"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B649EA" w14:paraId="74F7AEC7" w14:textId="77777777">
        <w:trPr>
          <w:trHeight w:val="454"/>
        </w:trPr>
        <w:tc>
          <w:tcPr>
            <w:tcW w:w="1591" w:type="dxa"/>
            <w:vMerge/>
          </w:tcPr>
          <w:p w14:paraId="3E104380" w14:textId="77777777" w:rsidR="00B649EA" w:rsidRDefault="00B649EA">
            <w:pPr>
              <w:spacing w:line="360" w:lineRule="auto"/>
              <w:contextualSpacing/>
              <w:jc w:val="center"/>
              <w:rPr>
                <w:rFonts w:asciiTheme="minorEastAsia" w:hAnsiTheme="minorEastAsia" w:cstheme="minorEastAsia" w:hint="eastAsia"/>
                <w:szCs w:val="21"/>
              </w:rPr>
            </w:pPr>
          </w:p>
        </w:tc>
        <w:tc>
          <w:tcPr>
            <w:tcW w:w="3620" w:type="dxa"/>
          </w:tcPr>
          <w:p w14:paraId="10FA6A95" w14:textId="77777777" w:rsidR="00B649EA"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71D78AE0" w14:textId="77777777" w:rsidR="00B649EA"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B649EA" w14:paraId="1FA6E217" w14:textId="77777777">
        <w:trPr>
          <w:trHeight w:val="454"/>
        </w:trPr>
        <w:tc>
          <w:tcPr>
            <w:tcW w:w="1591" w:type="dxa"/>
            <w:vMerge w:val="restart"/>
          </w:tcPr>
          <w:p w14:paraId="5CF90ECA" w14:textId="77777777" w:rsidR="00B649EA" w:rsidRDefault="00B649EA">
            <w:pPr>
              <w:spacing w:line="360" w:lineRule="auto"/>
              <w:contextualSpacing/>
              <w:jc w:val="center"/>
              <w:rPr>
                <w:rFonts w:asciiTheme="minorEastAsia" w:hAnsiTheme="minorEastAsia" w:cstheme="minorEastAsia" w:hint="eastAsia"/>
                <w:szCs w:val="21"/>
              </w:rPr>
            </w:pPr>
          </w:p>
          <w:p w14:paraId="59B93705" w14:textId="77777777" w:rsidR="00B649EA" w:rsidRDefault="00B649EA">
            <w:pPr>
              <w:spacing w:line="360" w:lineRule="auto"/>
              <w:contextualSpacing/>
              <w:jc w:val="center"/>
              <w:rPr>
                <w:rFonts w:asciiTheme="minorEastAsia" w:hAnsiTheme="minorEastAsia" w:cstheme="minorEastAsia" w:hint="eastAsia"/>
                <w:szCs w:val="21"/>
              </w:rPr>
            </w:pPr>
          </w:p>
          <w:p w14:paraId="31809A47" w14:textId="77777777" w:rsidR="00B649EA"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2DAB5901"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高等混凝土结构理论</w:t>
            </w:r>
          </w:p>
        </w:tc>
        <w:tc>
          <w:tcPr>
            <w:tcW w:w="3311" w:type="dxa"/>
          </w:tcPr>
          <w:p w14:paraId="21825295"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有限元法</w:t>
            </w:r>
          </w:p>
        </w:tc>
      </w:tr>
      <w:tr w:rsidR="00B649EA" w14:paraId="50F3E06B" w14:textId="77777777">
        <w:trPr>
          <w:trHeight w:val="454"/>
        </w:trPr>
        <w:tc>
          <w:tcPr>
            <w:tcW w:w="1591" w:type="dxa"/>
            <w:vMerge/>
          </w:tcPr>
          <w:p w14:paraId="603C5C87" w14:textId="77777777" w:rsidR="00B649EA" w:rsidRDefault="00B649EA">
            <w:pPr>
              <w:spacing w:line="360" w:lineRule="auto"/>
              <w:contextualSpacing/>
              <w:jc w:val="center"/>
              <w:rPr>
                <w:rFonts w:asciiTheme="minorEastAsia" w:hAnsiTheme="minorEastAsia" w:cstheme="minorEastAsia" w:hint="eastAsia"/>
                <w:szCs w:val="21"/>
              </w:rPr>
            </w:pPr>
          </w:p>
        </w:tc>
        <w:tc>
          <w:tcPr>
            <w:tcW w:w="3620" w:type="dxa"/>
          </w:tcPr>
          <w:p w14:paraId="06B68E86"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弹塑性力学</w:t>
            </w:r>
          </w:p>
        </w:tc>
        <w:tc>
          <w:tcPr>
            <w:tcW w:w="3311" w:type="dxa"/>
          </w:tcPr>
          <w:p w14:paraId="2486583D"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高等土力学</w:t>
            </w:r>
          </w:p>
        </w:tc>
      </w:tr>
      <w:tr w:rsidR="00B649EA" w14:paraId="2A87DA6E" w14:textId="77777777">
        <w:trPr>
          <w:trHeight w:val="454"/>
        </w:trPr>
        <w:tc>
          <w:tcPr>
            <w:tcW w:w="1591" w:type="dxa"/>
            <w:vMerge/>
          </w:tcPr>
          <w:p w14:paraId="36F554EB" w14:textId="77777777" w:rsidR="00B649EA" w:rsidRDefault="00B649EA">
            <w:pPr>
              <w:spacing w:line="360" w:lineRule="auto"/>
              <w:contextualSpacing/>
              <w:jc w:val="center"/>
              <w:rPr>
                <w:rFonts w:asciiTheme="minorEastAsia" w:hAnsiTheme="minorEastAsia" w:cstheme="minorEastAsia" w:hint="eastAsia"/>
                <w:szCs w:val="21"/>
              </w:rPr>
            </w:pPr>
          </w:p>
        </w:tc>
        <w:tc>
          <w:tcPr>
            <w:tcW w:w="3620" w:type="dxa"/>
          </w:tcPr>
          <w:p w14:paraId="7CC7925C"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结构健康监测分析与评价</w:t>
            </w:r>
          </w:p>
        </w:tc>
        <w:tc>
          <w:tcPr>
            <w:tcW w:w="3311" w:type="dxa"/>
          </w:tcPr>
          <w:p w14:paraId="0F46CF35"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地基加固技术</w:t>
            </w:r>
          </w:p>
        </w:tc>
      </w:tr>
      <w:tr w:rsidR="00B649EA" w14:paraId="4C85F4A6" w14:textId="77777777">
        <w:trPr>
          <w:trHeight w:val="454"/>
        </w:trPr>
        <w:tc>
          <w:tcPr>
            <w:tcW w:w="1591" w:type="dxa"/>
            <w:vMerge/>
          </w:tcPr>
          <w:p w14:paraId="38D36DF3" w14:textId="77777777" w:rsidR="00B649EA" w:rsidRDefault="00B649EA">
            <w:pPr>
              <w:spacing w:line="360" w:lineRule="auto"/>
              <w:contextualSpacing/>
              <w:jc w:val="center"/>
              <w:rPr>
                <w:rFonts w:asciiTheme="minorEastAsia" w:hAnsiTheme="minorEastAsia" w:cstheme="minorEastAsia" w:hint="eastAsia"/>
                <w:szCs w:val="21"/>
              </w:rPr>
            </w:pPr>
          </w:p>
        </w:tc>
        <w:tc>
          <w:tcPr>
            <w:tcW w:w="3620" w:type="dxa"/>
          </w:tcPr>
          <w:p w14:paraId="222DE1C4"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结构测试分析技术</w:t>
            </w:r>
          </w:p>
        </w:tc>
        <w:tc>
          <w:tcPr>
            <w:tcW w:w="3311" w:type="dxa"/>
          </w:tcPr>
          <w:p w14:paraId="553AD18D"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岩土工程理论与应用</w:t>
            </w:r>
          </w:p>
        </w:tc>
      </w:tr>
      <w:tr w:rsidR="00B649EA" w14:paraId="5D9289C0" w14:textId="77777777">
        <w:trPr>
          <w:trHeight w:val="454"/>
        </w:trPr>
        <w:tc>
          <w:tcPr>
            <w:tcW w:w="1591" w:type="dxa"/>
            <w:vMerge/>
          </w:tcPr>
          <w:p w14:paraId="4A0769C2" w14:textId="77777777" w:rsidR="00B649EA" w:rsidRDefault="00B649EA">
            <w:pPr>
              <w:spacing w:line="360" w:lineRule="auto"/>
              <w:contextualSpacing/>
              <w:jc w:val="center"/>
              <w:rPr>
                <w:rFonts w:asciiTheme="minorEastAsia" w:hAnsiTheme="minorEastAsia" w:cstheme="minorEastAsia" w:hint="eastAsia"/>
                <w:szCs w:val="21"/>
              </w:rPr>
            </w:pPr>
          </w:p>
        </w:tc>
        <w:tc>
          <w:tcPr>
            <w:tcW w:w="3620" w:type="dxa"/>
          </w:tcPr>
          <w:p w14:paraId="19710F12"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结构抗震理论</w:t>
            </w:r>
          </w:p>
        </w:tc>
        <w:tc>
          <w:tcPr>
            <w:tcW w:w="3311" w:type="dxa"/>
          </w:tcPr>
          <w:p w14:paraId="215BE5FB" w14:textId="77777777" w:rsidR="00B649EA"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学科前沿讲座</w:t>
            </w:r>
          </w:p>
        </w:tc>
      </w:tr>
    </w:tbl>
    <w:p w14:paraId="59BB7419" w14:textId="77777777" w:rsidR="00B649EA" w:rsidRDefault="00B649EA">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761CBC3" w14:textId="77777777" w:rsidR="00B649EA" w:rsidRDefault="00000000">
      <w:pPr>
        <w:pStyle w:val="a5"/>
        <w:snapToGrid w:val="0"/>
        <w:spacing w:beforeAutospacing="0" w:afterAutospacing="0" w:line="360" w:lineRule="auto"/>
        <w:contextualSpacing/>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注：部分课程教学参照实际</w:t>
      </w:r>
    </w:p>
    <w:p w14:paraId="4DD2A1CD" w14:textId="77777777" w:rsidR="00B649EA" w:rsidRDefault="00B649EA">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4960486" w14:textId="77777777" w:rsidR="00B649EA"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2A38545C" w14:textId="77777777" w:rsidR="00B649EA"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4E09126E" w14:textId="77777777" w:rsidR="00B649EA"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4D14EAF7" w14:textId="77777777" w:rsidR="00B649EA" w:rsidRDefault="00B649EA">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3686D9E0" w14:textId="77777777" w:rsidR="00B649EA"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6E613F8A" w14:textId="77777777" w:rsidR="00B649EA"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23CF70D1" w14:textId="77777777" w:rsidR="00B649EA"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6827DA1D" w14:textId="77777777" w:rsidR="00B649EA"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5BE782B8" w14:textId="77777777" w:rsidR="00B649EA"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5B8EB42B" w14:textId="77777777" w:rsidR="00B649EA"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（前置专业要求：招收与土木建筑学院现有专业相关的学生）</w:t>
      </w:r>
    </w:p>
    <w:p w14:paraId="0CA2C1F9" w14:textId="77777777" w:rsidR="00B649EA" w:rsidRDefault="00B649EA">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AF81398" w14:textId="77777777" w:rsidR="00B649EA"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7A149983" w14:textId="77777777" w:rsidR="00B649EA"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03523AFE" w14:textId="77777777" w:rsidR="00B649EA"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04ADD441" w14:textId="77777777" w:rsidR="00B649EA"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1BB47B03" w14:textId="77777777" w:rsidR="00B649EA"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75DFF1CD" w14:textId="77777777" w:rsidR="00B649EA" w:rsidRDefault="00B649EA">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B4C409E" w14:textId="77777777" w:rsidR="00B649EA"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2757C84A" w14:textId="77777777" w:rsidR="00B649EA"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6DAB7F05" w14:textId="77777777" w:rsidR="00B649EA"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6734CF3C" w14:textId="77777777" w:rsidR="00B649EA" w:rsidRDefault="00B649EA">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FFF2AB4" w14:textId="77777777" w:rsidR="00B649EA"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2B162989" w14:textId="77777777" w:rsidR="00B649EA"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0FD18397" w14:textId="0911C4F7" w:rsidR="00B649EA" w:rsidRPr="00DA1C99" w:rsidRDefault="00000000" w:rsidP="00DA1C99">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sectPr w:rsidR="00B649EA" w:rsidRPr="00DA1C99">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5905B" w14:textId="77777777" w:rsidR="00036C7E" w:rsidRDefault="00036C7E">
      <w:r>
        <w:separator/>
      </w:r>
    </w:p>
  </w:endnote>
  <w:endnote w:type="continuationSeparator" w:id="0">
    <w:p w14:paraId="676EDB65" w14:textId="77777777" w:rsidR="00036C7E" w:rsidRDefault="00036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FEA0B" w14:textId="77777777" w:rsidR="00036C7E" w:rsidRDefault="00036C7E">
      <w:r>
        <w:separator/>
      </w:r>
    </w:p>
  </w:footnote>
  <w:footnote w:type="continuationSeparator" w:id="0">
    <w:p w14:paraId="1F62AED4" w14:textId="77777777" w:rsidR="00036C7E" w:rsidRDefault="00036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095" w14:textId="77777777" w:rsidR="00B649EA" w:rsidRDefault="00000000">
    <w:pPr>
      <w:pStyle w:val="a4"/>
    </w:pPr>
    <w:r>
      <w:rPr>
        <w:noProof/>
      </w:rPr>
      <w:drawing>
        <wp:anchor distT="0" distB="0" distL="114300" distR="114300" simplePos="0" relativeHeight="251659264" behindDoc="1" locked="0" layoutInCell="1" allowOverlap="1" wp14:anchorId="2D387B8C" wp14:editId="6AE879F5">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1676228467">
    <w:abstractNumId w:val="0"/>
  </w:num>
  <w:num w:numId="2" w16cid:durableId="317421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036C7E"/>
    <w:rsid w:val="00B649EA"/>
    <w:rsid w:val="00D50B00"/>
    <w:rsid w:val="00DA1C99"/>
    <w:rsid w:val="1A1B54BE"/>
    <w:rsid w:val="54736736"/>
    <w:rsid w:val="66580F9D"/>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A55A2"/>
  <w15:docId w15:val="{E2EEEE87-7466-4F1D-A5B4-7ACAB408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22A50351CBE0498281DF703FA1EF47C8_11</vt:lpwstr>
  </property>
</Properties>
</file>