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405B4" w14:textId="77777777" w:rsidR="00586A39" w:rsidRDefault="00586A39"/>
    <w:p w14:paraId="0C6B8AD5" w14:textId="77777777" w:rsidR="00586A39" w:rsidRDefault="00000000">
      <w:pPr>
        <w:jc w:val="center"/>
      </w:pPr>
      <w:r>
        <w:rPr>
          <w:noProof/>
        </w:rPr>
        <w:drawing>
          <wp:inline distT="0" distB="0" distL="114300" distR="114300" wp14:anchorId="4BECD86B" wp14:editId="58375BFC">
            <wp:extent cx="4863465" cy="1574800"/>
            <wp:effectExtent l="0" t="0" r="1333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4863465" cy="1574800"/>
                    </a:xfrm>
                    <a:prstGeom prst="rect">
                      <a:avLst/>
                    </a:prstGeom>
                    <a:noFill/>
                    <a:ln>
                      <a:noFill/>
                    </a:ln>
                  </pic:spPr>
                </pic:pic>
              </a:graphicData>
            </a:graphic>
          </wp:inline>
        </w:drawing>
      </w:r>
    </w:p>
    <w:p w14:paraId="14B9C8F3" w14:textId="77777777" w:rsidR="00586A39" w:rsidRDefault="00000000">
      <w:pPr>
        <w:jc w:val="center"/>
        <w:rPr>
          <w:rFonts w:ascii="宋体" w:eastAsia="宋体" w:hAnsi="宋体" w:cs="宋体" w:hint="eastAsia"/>
          <w:b/>
          <w:bCs/>
          <w:color w:val="000000" w:themeColor="text1"/>
          <w:sz w:val="36"/>
          <w:szCs w:val="36"/>
        </w:rPr>
      </w:pPr>
      <w:r>
        <w:rPr>
          <w:rFonts w:ascii="宋体" w:eastAsia="宋体" w:hAnsi="宋体" w:cs="宋体" w:hint="eastAsia"/>
          <w:b/>
          <w:bCs/>
          <w:color w:val="000000" w:themeColor="text1"/>
          <w:sz w:val="36"/>
          <w:szCs w:val="36"/>
        </w:rPr>
        <w:t>华东交通大学法学专业同等学力人员申请硕士学位</w:t>
      </w:r>
    </w:p>
    <w:p w14:paraId="365ED544" w14:textId="77777777" w:rsidR="00586A39" w:rsidRDefault="00000000">
      <w:pPr>
        <w:jc w:val="center"/>
        <w:rPr>
          <w:rFonts w:ascii="宋体" w:eastAsia="宋体" w:hAnsi="宋体" w:cs="宋体" w:hint="eastAsia"/>
          <w:b/>
          <w:bCs/>
          <w:color w:val="000000" w:themeColor="text1"/>
          <w:sz w:val="36"/>
          <w:szCs w:val="36"/>
        </w:rPr>
      </w:pPr>
      <w:r>
        <w:rPr>
          <w:rFonts w:ascii="宋体" w:eastAsia="宋体" w:hAnsi="宋体" w:cs="宋体" w:hint="eastAsia"/>
          <w:b/>
          <w:bCs/>
          <w:color w:val="000000" w:themeColor="text1"/>
          <w:sz w:val="36"/>
          <w:szCs w:val="36"/>
        </w:rPr>
        <w:t>招生简章</w:t>
      </w:r>
    </w:p>
    <w:p w14:paraId="6F285403" w14:textId="77777777" w:rsidR="00586A39" w:rsidRDefault="00586A39">
      <w:pPr>
        <w:adjustRightInd w:val="0"/>
        <w:snapToGrid w:val="0"/>
        <w:spacing w:line="360" w:lineRule="auto"/>
        <w:rPr>
          <w:rFonts w:ascii="宋体" w:eastAsia="宋体" w:hAnsi="宋体" w:cs="宋体" w:hint="eastAsia"/>
          <w:color w:val="000000" w:themeColor="text1"/>
          <w:sz w:val="24"/>
        </w:rPr>
      </w:pPr>
    </w:p>
    <w:p w14:paraId="792BEDC6" w14:textId="77777777" w:rsidR="00586A39"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学校简介：</w:t>
      </w:r>
    </w:p>
    <w:p w14:paraId="254DBA58" w14:textId="77777777" w:rsidR="00586A39"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b w:val="0"/>
          <w:bCs/>
          <w:color w:val="000000" w:themeColor="text1"/>
          <w:sz w:val="21"/>
          <w:szCs w:val="21"/>
          <w:shd w:val="clear" w:color="auto" w:fill="FFFFFF"/>
        </w:rPr>
      </w:pPr>
      <w:r>
        <w:rPr>
          <w:rStyle w:val="a8"/>
          <w:rFonts w:ascii="宋体" w:eastAsia="宋体" w:hAnsi="宋体" w:cs="宋体" w:hint="eastAsia"/>
          <w:b w:val="0"/>
          <w:bCs/>
          <w:color w:val="000000" w:themeColor="text1"/>
          <w:sz w:val="21"/>
          <w:szCs w:val="21"/>
          <w:shd w:val="clear" w:color="auto" w:fill="FFFFFF"/>
        </w:rPr>
        <w:t>华东交通大学是一所以交通为特色、轨道为核心、多学科协调发展的教学研究型大学，国铁集团与江西省人民政府、国家铁路局与江西省人民政府“双共建”高校，“中西部高校基础能力建设工程”高校，博士学位授权单位。学校涵盖工、经、管、文、理、法、教育、艺术等8个学科门类。拥有3个一级学科博士点、21个一级学科硕士点，工程学学科进入ESI全球前1%，3个学科入选江西省一流学科，4个学科成为江西省学科联盟牵头学科，具有19个专业学位授权类别，是硕士</w:t>
      </w:r>
      <w:proofErr w:type="gramStart"/>
      <w:r>
        <w:rPr>
          <w:rStyle w:val="a8"/>
          <w:rFonts w:ascii="宋体" w:eastAsia="宋体" w:hAnsi="宋体" w:cs="宋体" w:hint="eastAsia"/>
          <w:b w:val="0"/>
          <w:bCs/>
          <w:color w:val="000000" w:themeColor="text1"/>
          <w:sz w:val="21"/>
          <w:szCs w:val="21"/>
          <w:shd w:val="clear" w:color="auto" w:fill="FFFFFF"/>
        </w:rPr>
        <w:t>研究生推免工作</w:t>
      </w:r>
      <w:proofErr w:type="gramEnd"/>
      <w:r>
        <w:rPr>
          <w:rStyle w:val="a8"/>
          <w:rFonts w:ascii="宋体" w:eastAsia="宋体" w:hAnsi="宋体" w:cs="宋体" w:hint="eastAsia"/>
          <w:b w:val="0"/>
          <w:bCs/>
          <w:color w:val="000000" w:themeColor="text1"/>
          <w:sz w:val="21"/>
          <w:szCs w:val="21"/>
          <w:shd w:val="clear" w:color="auto" w:fill="FFFFFF"/>
        </w:rPr>
        <w:t>单位。</w:t>
      </w:r>
    </w:p>
    <w:p w14:paraId="31F28DB9" w14:textId="77777777" w:rsidR="00586A39"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b w:val="0"/>
          <w:bCs/>
          <w:color w:val="000000" w:themeColor="text1"/>
          <w:sz w:val="21"/>
          <w:szCs w:val="21"/>
          <w:shd w:val="clear" w:color="auto" w:fill="FFFFFF"/>
        </w:rPr>
      </w:pPr>
      <w:hyperlink r:id="rId8" w:tgtFrame="https://rwxy.ecjtu.edu.cn/_blank" w:tooltip="学院简介" w:history="1">
        <w:r>
          <w:rPr>
            <w:rStyle w:val="a8"/>
            <w:rFonts w:ascii="宋体" w:eastAsia="宋体" w:hAnsi="宋体" w:cs="宋体" w:hint="eastAsia"/>
            <w:b w:val="0"/>
            <w:bCs/>
            <w:color w:val="000000" w:themeColor="text1"/>
            <w:sz w:val="21"/>
            <w:szCs w:val="21"/>
            <w:shd w:val="clear" w:color="auto" w:fill="FFFFFF"/>
          </w:rPr>
          <w:t>华东交通大学人文社会科学学院的前身是1979年10月成立的马列主义教研室，1988年9月并入了德育教研室、大学语文教研室，成立了社会科学部。2000年5月社会科学部更名为人文社会科学学院。2011年4月成立马克思主义学院，与人文社会科学学院合署办公。2013年11月人文社会科学学院与马克思主义学院分设。2018年7月成立华东交通大学MPA教育中心，2018年9月成立江西省知识产权学院，与人文社会科学学院合署办公。</w:t>
        </w:r>
      </w:hyperlink>
    </w:p>
    <w:p w14:paraId="4133BE2F" w14:textId="77777777" w:rsidR="00586A39"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b w:val="0"/>
          <w:bCs/>
          <w:color w:val="000000" w:themeColor="text1"/>
          <w:sz w:val="21"/>
          <w:szCs w:val="21"/>
          <w:shd w:val="clear" w:color="auto" w:fill="FFFFFF"/>
        </w:rPr>
      </w:pPr>
      <w:r>
        <w:rPr>
          <w:rStyle w:val="a8"/>
          <w:rFonts w:ascii="宋体" w:eastAsia="宋体" w:hAnsi="宋体" w:cs="宋体" w:hint="eastAsia"/>
          <w:b w:val="0"/>
          <w:bCs/>
          <w:color w:val="000000" w:themeColor="text1"/>
          <w:sz w:val="21"/>
          <w:szCs w:val="21"/>
          <w:shd w:val="clear" w:color="auto" w:fill="FFFFFF"/>
        </w:rPr>
        <w:t>法学专业2006年</w:t>
      </w:r>
      <w:proofErr w:type="gramStart"/>
      <w:r>
        <w:rPr>
          <w:rStyle w:val="a8"/>
          <w:rFonts w:ascii="宋体" w:eastAsia="宋体" w:hAnsi="宋体" w:cs="宋体" w:hint="eastAsia"/>
          <w:b w:val="0"/>
          <w:bCs/>
          <w:color w:val="000000" w:themeColor="text1"/>
          <w:sz w:val="21"/>
          <w:szCs w:val="21"/>
          <w:shd w:val="clear" w:color="auto" w:fill="FFFFFF"/>
        </w:rPr>
        <w:t>获民商法学</w:t>
      </w:r>
      <w:proofErr w:type="gramEnd"/>
      <w:r>
        <w:rPr>
          <w:rStyle w:val="a8"/>
          <w:rFonts w:ascii="宋体" w:eastAsia="宋体" w:hAnsi="宋体" w:cs="宋体" w:hint="eastAsia"/>
          <w:b w:val="0"/>
          <w:bCs/>
          <w:color w:val="000000" w:themeColor="text1"/>
          <w:sz w:val="21"/>
          <w:szCs w:val="21"/>
          <w:shd w:val="clear" w:color="auto" w:fill="FFFFFF"/>
        </w:rPr>
        <w:t>硕士点，2011年获法学一级学科硕士点，2012年获“江西省卓越法律人才培养基地”，2014年获“国家知识产权（江西）培训基地”“法治江西与法律智库人才培养基地”，2015年获江西省高校人文社会科学重点研究基地——“华东交通大学知识产权研究中心”，2018年获法律硕士专业学位授予点，2018年获得江西省教育厅和江西省知识产权局批准设立的江西省知识产权学院，2019年获得知识产权法学学科备案。法学硕士一级学科下设宪法学与行政法学、刑法学、民商法学、经济法学、知识产权法学等五个二级学科招收法学硕士研究生。依托江西省知识产权、交通行政部门的支持，以“知识产权”“交通”为特色，并与法院、检察院、公安等政法部门、律师事务所、党政机关、企事业单位合作，培养具有现代法治理念和法律技能的高级法律人才。</w:t>
      </w:r>
    </w:p>
    <w:p w14:paraId="7913F1F4" w14:textId="2F4D0B1F" w:rsidR="00586A39"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b w:val="0"/>
          <w:bCs/>
          <w:color w:val="000000" w:themeColor="text1"/>
          <w:sz w:val="21"/>
          <w:szCs w:val="21"/>
          <w:shd w:val="clear" w:color="auto" w:fill="FFFFFF"/>
        </w:rPr>
      </w:pPr>
      <w:r>
        <w:rPr>
          <w:rStyle w:val="a8"/>
          <w:rFonts w:ascii="宋体" w:eastAsia="宋体" w:hAnsi="宋体" w:cs="宋体" w:hint="eastAsia"/>
          <w:b w:val="0"/>
          <w:bCs/>
          <w:color w:val="000000" w:themeColor="text1"/>
          <w:sz w:val="21"/>
          <w:szCs w:val="21"/>
          <w:shd w:val="clear" w:color="auto" w:fill="FFFFFF"/>
        </w:rPr>
        <w:t>华东交通大学人文社会科学学院面向社会开设法学专业同等学力人员申请硕士学位课程班，用以培养更多的法学专业人才。</w:t>
      </w:r>
    </w:p>
    <w:p w14:paraId="0D361887" w14:textId="77777777" w:rsidR="00586A39" w:rsidRDefault="00586A39">
      <w:pPr>
        <w:pStyle w:val="a6"/>
        <w:widowControl/>
        <w:adjustRightInd w:val="0"/>
        <w:snapToGrid w:val="0"/>
        <w:spacing w:beforeAutospacing="0" w:afterAutospacing="0" w:line="360" w:lineRule="auto"/>
        <w:jc w:val="both"/>
        <w:rPr>
          <w:rStyle w:val="a8"/>
          <w:rFonts w:ascii="宋体" w:eastAsia="宋体" w:hAnsi="宋体" w:cs="宋体" w:hint="eastAsia"/>
          <w:b w:val="0"/>
          <w:bCs/>
          <w:color w:val="000000" w:themeColor="text1"/>
          <w:sz w:val="21"/>
          <w:szCs w:val="21"/>
          <w:shd w:val="clear" w:color="auto" w:fill="FFFFFF"/>
        </w:rPr>
      </w:pPr>
    </w:p>
    <w:p w14:paraId="6F57A252" w14:textId="77777777" w:rsidR="00586A39"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培养目标：</w:t>
      </w:r>
    </w:p>
    <w:p w14:paraId="0FFB153C" w14:textId="77777777" w:rsidR="00586A39"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b w:val="0"/>
          <w:bCs/>
          <w:color w:val="000000" w:themeColor="text1"/>
          <w:sz w:val="21"/>
          <w:szCs w:val="21"/>
          <w:shd w:val="clear" w:color="auto" w:fill="FFFFFF"/>
          <w:lang w:bidi="ar"/>
        </w:rPr>
      </w:pPr>
      <w:r>
        <w:rPr>
          <w:rStyle w:val="a8"/>
          <w:rFonts w:ascii="宋体" w:eastAsia="宋体" w:hAnsi="宋体" w:cs="宋体" w:hint="eastAsia"/>
          <w:b w:val="0"/>
          <w:bCs/>
          <w:color w:val="000000" w:themeColor="text1"/>
          <w:sz w:val="21"/>
          <w:szCs w:val="21"/>
          <w:shd w:val="clear" w:color="auto" w:fill="FFFFFF"/>
          <w:lang w:eastAsia="zh-TW" w:bidi="ar"/>
        </w:rPr>
        <w:t>本</w:t>
      </w:r>
      <w:r>
        <w:rPr>
          <w:rStyle w:val="a8"/>
          <w:rFonts w:ascii="宋体" w:eastAsia="宋体" w:hAnsi="宋体" w:cs="宋体" w:hint="eastAsia"/>
          <w:b w:val="0"/>
          <w:bCs/>
          <w:color w:val="000000" w:themeColor="text1"/>
          <w:sz w:val="21"/>
          <w:szCs w:val="21"/>
          <w:shd w:val="clear" w:color="auto" w:fill="FFFFFF"/>
          <w:lang w:bidi="ar"/>
        </w:rPr>
        <w:t>专业要求学员熟练掌握法学基础理论，系统、全面了解本学科研究方向和相关学科的主要内容及发展趋势，通晓与之相关课程体系的基本知识和技能。较为熟练地掌握一门外语，能阅读本专业的外文资料，具有全球意识和世界视野以及一定的国际交流和竞争能力，法学学科服务一带一路，进行国际化研究。掌握解释适用法律的方法，具备法律职业所要求的知识结构、思维特征和应用能力，能够独立分析、处理民商事案件。培养能独立承担法学理论研究、教学、立法、司法和法律实务工作。具有独立从事法学研究、教学和法律实务能力的应用型、复合型、创新型高级法律专门人才。</w:t>
      </w:r>
    </w:p>
    <w:p w14:paraId="2E6A5293" w14:textId="77777777" w:rsidR="00586A39" w:rsidRDefault="00586A39">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b w:val="0"/>
          <w:bCs/>
          <w:color w:val="000000" w:themeColor="text1"/>
          <w:sz w:val="21"/>
          <w:szCs w:val="21"/>
          <w:shd w:val="clear" w:color="auto" w:fill="FFFFFF"/>
          <w:lang w:bidi="ar"/>
        </w:rPr>
      </w:pPr>
    </w:p>
    <w:p w14:paraId="3FEE9896" w14:textId="77777777" w:rsidR="00586A39"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课程设置：</w:t>
      </w:r>
    </w:p>
    <w:tbl>
      <w:tblPr>
        <w:tblStyle w:val="a7"/>
        <w:tblW w:w="0" w:type="auto"/>
        <w:tblLook w:val="04A0" w:firstRow="1" w:lastRow="0" w:firstColumn="1" w:lastColumn="0" w:noHBand="0" w:noVBand="1"/>
      </w:tblPr>
      <w:tblGrid>
        <w:gridCol w:w="1591"/>
        <w:gridCol w:w="3620"/>
        <w:gridCol w:w="3311"/>
      </w:tblGrid>
      <w:tr w:rsidR="00586A39" w14:paraId="736AC7C7" w14:textId="77777777">
        <w:trPr>
          <w:trHeight w:val="454"/>
        </w:trPr>
        <w:tc>
          <w:tcPr>
            <w:tcW w:w="8522" w:type="dxa"/>
            <w:gridSpan w:val="3"/>
          </w:tcPr>
          <w:p w14:paraId="3F607B66" w14:textId="77777777" w:rsidR="00586A39" w:rsidRDefault="00000000">
            <w:pPr>
              <w:spacing w:line="360" w:lineRule="auto"/>
              <w:contextualSpacing/>
              <w:jc w:val="center"/>
              <w:rPr>
                <w:rFonts w:asciiTheme="minorEastAsia" w:hAnsiTheme="minorEastAsia" w:cstheme="minorEastAsia" w:hint="eastAsia"/>
                <w:b/>
                <w:szCs w:val="21"/>
              </w:rPr>
            </w:pPr>
            <w:r>
              <w:rPr>
                <w:rFonts w:asciiTheme="minorEastAsia" w:hAnsiTheme="minorEastAsia" w:cstheme="minorEastAsia" w:hint="eastAsia"/>
                <w:b/>
                <w:szCs w:val="21"/>
              </w:rPr>
              <w:t>法学专业课程设置</w:t>
            </w:r>
          </w:p>
        </w:tc>
      </w:tr>
      <w:tr w:rsidR="00586A39" w14:paraId="6B91A4BB" w14:textId="77777777">
        <w:trPr>
          <w:trHeight w:val="454"/>
        </w:trPr>
        <w:tc>
          <w:tcPr>
            <w:tcW w:w="1591" w:type="dxa"/>
            <w:vMerge w:val="restart"/>
            <w:vAlign w:val="center"/>
          </w:tcPr>
          <w:p w14:paraId="627F0152" w14:textId="77777777" w:rsidR="00586A39"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b/>
                <w:bCs/>
                <w:szCs w:val="21"/>
              </w:rPr>
              <w:t>公共课</w:t>
            </w:r>
          </w:p>
        </w:tc>
        <w:tc>
          <w:tcPr>
            <w:tcW w:w="3620" w:type="dxa"/>
          </w:tcPr>
          <w:p w14:paraId="3D629383" w14:textId="77777777" w:rsidR="00586A39" w:rsidRDefault="00000000">
            <w:pPr>
              <w:spacing w:line="360" w:lineRule="auto"/>
              <w:contextualSpacing/>
              <w:jc w:val="center"/>
              <w:rPr>
                <w:rFonts w:asciiTheme="minorEastAsia" w:hAnsiTheme="minorEastAsia" w:cstheme="minorEastAsia" w:hint="eastAsia"/>
                <w:szCs w:val="21"/>
              </w:rPr>
            </w:pPr>
            <w:r>
              <w:rPr>
                <w:rStyle w:val="a8"/>
                <w:rFonts w:ascii="宋体" w:eastAsia="宋体" w:hAnsi="宋体" w:cs="宋体" w:hint="eastAsia"/>
                <w:b w:val="0"/>
                <w:bCs/>
                <w:color w:val="000000" w:themeColor="text1"/>
                <w:kern w:val="0"/>
                <w:szCs w:val="21"/>
                <w:shd w:val="clear" w:color="auto" w:fill="FFFFFF"/>
                <w:lang w:bidi="ar"/>
              </w:rPr>
              <w:t>中国特色社会主义理论与实践研究</w:t>
            </w:r>
          </w:p>
        </w:tc>
        <w:tc>
          <w:tcPr>
            <w:tcW w:w="3311" w:type="dxa"/>
          </w:tcPr>
          <w:p w14:paraId="09C1D193" w14:textId="77777777" w:rsidR="00586A39"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综合英语</w:t>
            </w:r>
          </w:p>
        </w:tc>
      </w:tr>
      <w:tr w:rsidR="00586A39" w14:paraId="7B068EE3" w14:textId="77777777">
        <w:trPr>
          <w:trHeight w:val="454"/>
        </w:trPr>
        <w:tc>
          <w:tcPr>
            <w:tcW w:w="1591" w:type="dxa"/>
            <w:vMerge/>
          </w:tcPr>
          <w:p w14:paraId="4D6979D7" w14:textId="77777777" w:rsidR="00586A39" w:rsidRDefault="00586A39">
            <w:pPr>
              <w:spacing w:line="360" w:lineRule="auto"/>
              <w:contextualSpacing/>
              <w:jc w:val="center"/>
              <w:rPr>
                <w:rFonts w:asciiTheme="minorEastAsia" w:hAnsiTheme="minorEastAsia" w:cstheme="minorEastAsia" w:hint="eastAsia"/>
                <w:szCs w:val="21"/>
              </w:rPr>
            </w:pPr>
          </w:p>
        </w:tc>
        <w:tc>
          <w:tcPr>
            <w:tcW w:w="3620" w:type="dxa"/>
          </w:tcPr>
          <w:p w14:paraId="62741A20" w14:textId="77777777" w:rsidR="00586A39"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知识产权</w:t>
            </w:r>
          </w:p>
        </w:tc>
        <w:tc>
          <w:tcPr>
            <w:tcW w:w="3311" w:type="dxa"/>
          </w:tcPr>
          <w:p w14:paraId="1B1B227B" w14:textId="77777777" w:rsidR="00586A39"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情报信息检索</w:t>
            </w:r>
          </w:p>
        </w:tc>
      </w:tr>
      <w:tr w:rsidR="00586A39" w14:paraId="53E71EDD" w14:textId="77777777">
        <w:trPr>
          <w:trHeight w:val="454"/>
        </w:trPr>
        <w:tc>
          <w:tcPr>
            <w:tcW w:w="1591" w:type="dxa"/>
            <w:vMerge w:val="restart"/>
          </w:tcPr>
          <w:p w14:paraId="45A4A23C" w14:textId="77777777" w:rsidR="00586A39" w:rsidRDefault="00586A39">
            <w:pPr>
              <w:spacing w:line="360" w:lineRule="auto"/>
              <w:contextualSpacing/>
              <w:jc w:val="center"/>
              <w:rPr>
                <w:rFonts w:asciiTheme="minorEastAsia" w:hAnsiTheme="minorEastAsia" w:cstheme="minorEastAsia" w:hint="eastAsia"/>
                <w:szCs w:val="21"/>
              </w:rPr>
            </w:pPr>
          </w:p>
          <w:p w14:paraId="57F0B6BB" w14:textId="77777777" w:rsidR="00586A39" w:rsidRDefault="00586A39">
            <w:pPr>
              <w:spacing w:line="360" w:lineRule="auto"/>
              <w:contextualSpacing/>
              <w:jc w:val="center"/>
              <w:rPr>
                <w:rFonts w:asciiTheme="minorEastAsia" w:hAnsiTheme="minorEastAsia" w:cstheme="minorEastAsia" w:hint="eastAsia"/>
                <w:szCs w:val="21"/>
              </w:rPr>
            </w:pPr>
          </w:p>
          <w:p w14:paraId="489F0318" w14:textId="77777777" w:rsidR="00586A39"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b/>
                <w:bCs/>
                <w:szCs w:val="21"/>
              </w:rPr>
              <w:t>专业课</w:t>
            </w:r>
          </w:p>
        </w:tc>
        <w:tc>
          <w:tcPr>
            <w:tcW w:w="3620" w:type="dxa"/>
          </w:tcPr>
          <w:p w14:paraId="17467D6C" w14:textId="77777777" w:rsidR="00586A39"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法理学研究</w:t>
            </w:r>
          </w:p>
        </w:tc>
        <w:tc>
          <w:tcPr>
            <w:tcW w:w="3311" w:type="dxa"/>
          </w:tcPr>
          <w:p w14:paraId="06465993" w14:textId="77777777" w:rsidR="00586A39"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宪法学研究</w:t>
            </w:r>
          </w:p>
        </w:tc>
      </w:tr>
      <w:tr w:rsidR="00586A39" w14:paraId="49A40E30" w14:textId="77777777">
        <w:trPr>
          <w:trHeight w:val="454"/>
        </w:trPr>
        <w:tc>
          <w:tcPr>
            <w:tcW w:w="1591" w:type="dxa"/>
            <w:vMerge/>
          </w:tcPr>
          <w:p w14:paraId="6497E28B" w14:textId="77777777" w:rsidR="00586A39" w:rsidRDefault="00586A39">
            <w:pPr>
              <w:spacing w:line="360" w:lineRule="auto"/>
              <w:contextualSpacing/>
              <w:jc w:val="center"/>
              <w:rPr>
                <w:rFonts w:asciiTheme="minorEastAsia" w:hAnsiTheme="minorEastAsia" w:cstheme="minorEastAsia" w:hint="eastAsia"/>
                <w:szCs w:val="21"/>
              </w:rPr>
            </w:pPr>
          </w:p>
        </w:tc>
        <w:tc>
          <w:tcPr>
            <w:tcW w:w="3620" w:type="dxa"/>
          </w:tcPr>
          <w:p w14:paraId="31DADBAB" w14:textId="77777777" w:rsidR="00586A39"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民法学研究</w:t>
            </w:r>
          </w:p>
        </w:tc>
        <w:tc>
          <w:tcPr>
            <w:tcW w:w="3311" w:type="dxa"/>
          </w:tcPr>
          <w:p w14:paraId="3429FB8D" w14:textId="77777777" w:rsidR="00586A39"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刑法学研究</w:t>
            </w:r>
          </w:p>
        </w:tc>
      </w:tr>
      <w:tr w:rsidR="00586A39" w14:paraId="748E207E" w14:textId="77777777">
        <w:trPr>
          <w:trHeight w:val="454"/>
        </w:trPr>
        <w:tc>
          <w:tcPr>
            <w:tcW w:w="1591" w:type="dxa"/>
            <w:vMerge/>
          </w:tcPr>
          <w:p w14:paraId="35C12998" w14:textId="77777777" w:rsidR="00586A39" w:rsidRDefault="00586A39">
            <w:pPr>
              <w:spacing w:line="360" w:lineRule="auto"/>
              <w:contextualSpacing/>
              <w:jc w:val="center"/>
              <w:rPr>
                <w:rFonts w:asciiTheme="minorEastAsia" w:hAnsiTheme="minorEastAsia" w:cstheme="minorEastAsia" w:hint="eastAsia"/>
                <w:szCs w:val="21"/>
              </w:rPr>
            </w:pPr>
          </w:p>
        </w:tc>
        <w:tc>
          <w:tcPr>
            <w:tcW w:w="3620" w:type="dxa"/>
          </w:tcPr>
          <w:p w14:paraId="4E65841C" w14:textId="77777777" w:rsidR="00586A39"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法学学科前沿研究</w:t>
            </w:r>
          </w:p>
        </w:tc>
        <w:tc>
          <w:tcPr>
            <w:tcW w:w="3311" w:type="dxa"/>
          </w:tcPr>
          <w:p w14:paraId="278A027C" w14:textId="77777777" w:rsidR="00586A39"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习近平法治思想概论</w:t>
            </w:r>
          </w:p>
        </w:tc>
      </w:tr>
      <w:tr w:rsidR="00586A39" w14:paraId="46E59FA0" w14:textId="77777777">
        <w:trPr>
          <w:trHeight w:val="454"/>
        </w:trPr>
        <w:tc>
          <w:tcPr>
            <w:tcW w:w="1591" w:type="dxa"/>
            <w:vMerge/>
          </w:tcPr>
          <w:p w14:paraId="0B816CA0" w14:textId="77777777" w:rsidR="00586A39" w:rsidRDefault="00586A39">
            <w:pPr>
              <w:spacing w:line="360" w:lineRule="auto"/>
              <w:contextualSpacing/>
              <w:jc w:val="center"/>
              <w:rPr>
                <w:rFonts w:asciiTheme="minorEastAsia" w:hAnsiTheme="minorEastAsia" w:cstheme="minorEastAsia" w:hint="eastAsia"/>
                <w:szCs w:val="21"/>
              </w:rPr>
            </w:pPr>
          </w:p>
        </w:tc>
        <w:tc>
          <w:tcPr>
            <w:tcW w:w="3620" w:type="dxa"/>
          </w:tcPr>
          <w:p w14:paraId="7F30EA7F" w14:textId="77777777" w:rsidR="00586A39"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法学方法及论文撰写技能</w:t>
            </w:r>
          </w:p>
        </w:tc>
        <w:tc>
          <w:tcPr>
            <w:tcW w:w="3311" w:type="dxa"/>
          </w:tcPr>
          <w:p w14:paraId="12A10911" w14:textId="77777777" w:rsidR="00586A39"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行政法学专题研究</w:t>
            </w:r>
          </w:p>
        </w:tc>
      </w:tr>
      <w:tr w:rsidR="00586A39" w14:paraId="3CA688BF" w14:textId="77777777">
        <w:trPr>
          <w:trHeight w:val="454"/>
        </w:trPr>
        <w:tc>
          <w:tcPr>
            <w:tcW w:w="1591" w:type="dxa"/>
            <w:vMerge/>
          </w:tcPr>
          <w:p w14:paraId="72299DC8" w14:textId="77777777" w:rsidR="00586A39" w:rsidRDefault="00586A39">
            <w:pPr>
              <w:spacing w:line="360" w:lineRule="auto"/>
              <w:contextualSpacing/>
              <w:jc w:val="center"/>
              <w:rPr>
                <w:rFonts w:asciiTheme="minorEastAsia" w:hAnsiTheme="minorEastAsia" w:cstheme="minorEastAsia" w:hint="eastAsia"/>
                <w:szCs w:val="21"/>
              </w:rPr>
            </w:pPr>
          </w:p>
        </w:tc>
        <w:tc>
          <w:tcPr>
            <w:tcW w:w="3620" w:type="dxa"/>
          </w:tcPr>
          <w:p w14:paraId="4196E7A2" w14:textId="77777777" w:rsidR="00586A39"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刑事诉讼法专题研究</w:t>
            </w:r>
          </w:p>
        </w:tc>
        <w:tc>
          <w:tcPr>
            <w:tcW w:w="3311" w:type="dxa"/>
          </w:tcPr>
          <w:p w14:paraId="554113EF" w14:textId="77777777" w:rsidR="00586A39"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经济法总论研究</w:t>
            </w:r>
          </w:p>
        </w:tc>
      </w:tr>
      <w:tr w:rsidR="00586A39" w14:paraId="0E688394" w14:textId="77777777">
        <w:trPr>
          <w:trHeight w:val="454"/>
        </w:trPr>
        <w:tc>
          <w:tcPr>
            <w:tcW w:w="1591" w:type="dxa"/>
            <w:vMerge/>
          </w:tcPr>
          <w:p w14:paraId="5BD8E7D1" w14:textId="77777777" w:rsidR="00586A39" w:rsidRDefault="00586A39">
            <w:pPr>
              <w:spacing w:line="360" w:lineRule="auto"/>
              <w:contextualSpacing/>
              <w:jc w:val="center"/>
              <w:rPr>
                <w:rFonts w:asciiTheme="minorEastAsia" w:hAnsiTheme="minorEastAsia" w:cstheme="minorEastAsia" w:hint="eastAsia"/>
                <w:szCs w:val="21"/>
              </w:rPr>
            </w:pPr>
          </w:p>
        </w:tc>
        <w:tc>
          <w:tcPr>
            <w:tcW w:w="3620" w:type="dxa"/>
          </w:tcPr>
          <w:p w14:paraId="2B42345D" w14:textId="77777777" w:rsidR="00586A39"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知识产权法研究</w:t>
            </w:r>
          </w:p>
        </w:tc>
        <w:tc>
          <w:tcPr>
            <w:tcW w:w="3311" w:type="dxa"/>
          </w:tcPr>
          <w:p w14:paraId="25DF9BCB" w14:textId="77777777" w:rsidR="00586A39" w:rsidRDefault="00586A39">
            <w:pPr>
              <w:spacing w:line="360" w:lineRule="auto"/>
              <w:contextualSpacing/>
              <w:jc w:val="center"/>
              <w:rPr>
                <w:rFonts w:asciiTheme="minorEastAsia" w:hAnsiTheme="minorEastAsia" w:cstheme="minorEastAsia" w:hint="eastAsia"/>
                <w:szCs w:val="21"/>
              </w:rPr>
            </w:pPr>
          </w:p>
        </w:tc>
      </w:tr>
    </w:tbl>
    <w:p w14:paraId="5A8C8D85" w14:textId="77777777" w:rsidR="00586A39" w:rsidRDefault="00586A39">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5D1E0F77" w14:textId="77777777" w:rsidR="00586A39" w:rsidRDefault="00000000">
      <w:pPr>
        <w:pStyle w:val="a6"/>
        <w:snapToGrid w:val="0"/>
        <w:spacing w:beforeAutospacing="0" w:afterAutospacing="0" w:line="360" w:lineRule="auto"/>
        <w:contextualSpacing/>
        <w:jc w:val="center"/>
        <w:rPr>
          <w:rStyle w:val="a8"/>
          <w:rFonts w:ascii="宋体" w:eastAsia="宋体" w:hAnsi="宋体" w:cs="宋体" w:hint="eastAsia"/>
          <w:color w:val="000000" w:themeColor="text1"/>
          <w:shd w:val="clear" w:color="auto" w:fill="FFFFFF"/>
        </w:rPr>
      </w:pPr>
      <w:r>
        <w:rPr>
          <w:rFonts w:asciiTheme="minorEastAsia" w:hAnsiTheme="minorEastAsia" w:cstheme="minorEastAsia" w:hint="eastAsia"/>
          <w:sz w:val="21"/>
          <w:szCs w:val="21"/>
        </w:rPr>
        <w:t>注：部分课程教学参照实际</w:t>
      </w:r>
    </w:p>
    <w:p w14:paraId="65443480" w14:textId="77777777" w:rsidR="00586A39" w:rsidRDefault="00586A39">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049EFE67" w14:textId="77777777" w:rsidR="00586A39"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培养方式和学制：</w:t>
      </w:r>
    </w:p>
    <w:p w14:paraId="6292581C" w14:textId="77777777" w:rsidR="00586A39" w:rsidRDefault="00000000">
      <w:pPr>
        <w:pStyle w:val="a6"/>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lang w:bidi="ar"/>
        </w:rPr>
        <w:t>1、学习方式：在职不脱产，线上授课；</w:t>
      </w:r>
    </w:p>
    <w:p w14:paraId="234B07D6" w14:textId="77777777" w:rsidR="00586A39" w:rsidRDefault="00000000">
      <w:pPr>
        <w:pStyle w:val="a6"/>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rPr>
        <w:t>2、学制：2年</w:t>
      </w:r>
    </w:p>
    <w:p w14:paraId="1078522B" w14:textId="77777777" w:rsidR="00586A39" w:rsidRDefault="00586A39">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72F502A6" w14:textId="77777777" w:rsidR="00586A39"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报名条件：</w:t>
      </w:r>
    </w:p>
    <w:p w14:paraId="3C73A200" w14:textId="77777777" w:rsidR="00586A39" w:rsidRDefault="00000000">
      <w:pPr>
        <w:pStyle w:val="a6"/>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1、热爱祖国，遵纪守法，品德端正，积极完成本职工作，身体健康；</w:t>
      </w:r>
    </w:p>
    <w:p w14:paraId="3B1AB20B" w14:textId="77777777" w:rsidR="00586A39" w:rsidRDefault="00000000">
      <w:pPr>
        <w:pStyle w:val="a6"/>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2、本科已获得学士学位，并在获得学士学位后工作三年以上（含三年）；</w:t>
      </w:r>
    </w:p>
    <w:p w14:paraId="0A2D13E2" w14:textId="77777777" w:rsidR="00586A39" w:rsidRDefault="00000000">
      <w:pPr>
        <w:pStyle w:val="a6"/>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3、虽无学士学位但已获得硕士或博士学位；</w:t>
      </w:r>
    </w:p>
    <w:p w14:paraId="7E608E4E" w14:textId="77777777" w:rsidR="00586A39" w:rsidRDefault="00000000">
      <w:pPr>
        <w:pStyle w:val="a6"/>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lastRenderedPageBreak/>
        <w:t>4、对已获得的国（境）外学士、硕士或博士学位，须经过教育部留学服务中心认证。</w:t>
      </w:r>
    </w:p>
    <w:p w14:paraId="594031EF" w14:textId="77777777" w:rsidR="00586A39" w:rsidRDefault="00586A39">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0EC8715F" w14:textId="77777777" w:rsidR="00586A39"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报名材料：</w:t>
      </w:r>
    </w:p>
    <w:p w14:paraId="3AB2114B" w14:textId="77777777" w:rsidR="00586A39" w:rsidRDefault="00000000">
      <w:pPr>
        <w:pStyle w:val="a6"/>
        <w:widowControl/>
        <w:numPr>
          <w:ilvl w:val="0"/>
          <w:numId w:val="2"/>
        </w:numPr>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在职人员课程培训班报名登记表；</w:t>
      </w:r>
    </w:p>
    <w:p w14:paraId="5C4E4489" w14:textId="77777777" w:rsidR="00586A39" w:rsidRDefault="00000000">
      <w:pPr>
        <w:pStyle w:val="a6"/>
        <w:widowControl/>
        <w:adjustRightInd w:val="0"/>
        <w:snapToGrid w:val="0"/>
        <w:spacing w:beforeAutospacing="0" w:afterAutospacing="0" w:line="360" w:lineRule="auto"/>
        <w:ind w:leftChars="200" w:left="420"/>
        <w:jc w:val="both"/>
        <w:rPr>
          <w:sz w:val="21"/>
          <w:szCs w:val="21"/>
        </w:rPr>
      </w:pPr>
      <w:r>
        <w:rPr>
          <w:rFonts w:ascii="宋体" w:eastAsia="宋体" w:hAnsi="宋体" w:cs="宋体" w:hint="eastAsia"/>
          <w:color w:val="000000" w:themeColor="text1"/>
          <w:sz w:val="21"/>
          <w:szCs w:val="21"/>
          <w:shd w:val="clear" w:color="auto" w:fill="FFFFFF"/>
          <w:lang w:bidi="ar"/>
        </w:rPr>
        <w:t>2、</w:t>
      </w:r>
      <w:r>
        <w:rPr>
          <w:rFonts w:hint="eastAsia"/>
          <w:sz w:val="21"/>
          <w:szCs w:val="21"/>
        </w:rPr>
        <w:t>身份证复印件，正反面复印在一张纸上；</w:t>
      </w:r>
    </w:p>
    <w:p w14:paraId="41A810E3" w14:textId="77777777" w:rsidR="00586A39" w:rsidRDefault="00000000">
      <w:pPr>
        <w:pStyle w:val="a6"/>
        <w:widowControl/>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3、本科毕业证书、学士学位证书原件及复印件；</w:t>
      </w:r>
    </w:p>
    <w:p w14:paraId="679CBB7D" w14:textId="77777777" w:rsidR="00586A39"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color w:val="000000" w:themeColor="text1"/>
          <w:shd w:val="clear" w:color="auto" w:fill="FFFFFF"/>
        </w:rPr>
      </w:pPr>
      <w:r>
        <w:rPr>
          <w:rFonts w:ascii="宋体" w:eastAsia="宋体" w:hAnsi="宋体" w:cs="宋体" w:hint="eastAsia"/>
          <w:color w:val="000000" w:themeColor="text1"/>
          <w:sz w:val="21"/>
          <w:szCs w:val="21"/>
          <w:shd w:val="clear" w:color="auto" w:fill="FFFFFF"/>
          <w:lang w:bidi="ar"/>
        </w:rPr>
        <w:t>4、蓝底电子照片1份。</w:t>
      </w:r>
    </w:p>
    <w:p w14:paraId="02D1A140" w14:textId="77777777" w:rsidR="00586A39" w:rsidRDefault="00586A39">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3F23CAE0" w14:textId="77777777" w:rsidR="00586A39"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收费标准：</w:t>
      </w:r>
    </w:p>
    <w:p w14:paraId="5B2AB6D0" w14:textId="77777777" w:rsidR="00586A39" w:rsidRDefault="00000000">
      <w:pPr>
        <w:pStyle w:val="a6"/>
        <w:widowControl/>
        <w:adjustRightInd w:val="0"/>
        <w:snapToGrid w:val="0"/>
        <w:spacing w:beforeAutospacing="0" w:afterAutospacing="0" w:line="360" w:lineRule="auto"/>
        <w:ind w:firstLineChars="200" w:firstLine="420"/>
        <w:jc w:val="both"/>
        <w:rPr>
          <w:rFonts w:ascii="宋体" w:eastAsia="宋体" w:hAnsi="宋体" w:cs="宋体" w:hint="eastAsia"/>
          <w:sz w:val="21"/>
          <w:szCs w:val="21"/>
        </w:rPr>
      </w:pPr>
      <w:r>
        <w:rPr>
          <w:rFonts w:ascii="宋体" w:eastAsia="宋体" w:hAnsi="宋体" w:cs="宋体" w:hint="eastAsia"/>
          <w:sz w:val="21"/>
          <w:szCs w:val="21"/>
        </w:rPr>
        <w:t>1、</w:t>
      </w:r>
      <w:r>
        <w:rPr>
          <w:rFonts w:ascii="宋体" w:eastAsia="宋体" w:hAnsi="宋体" w:cs="宋体"/>
          <w:sz w:val="21"/>
          <w:szCs w:val="21"/>
        </w:rPr>
        <w:t>学费</w:t>
      </w:r>
      <w:r>
        <w:rPr>
          <w:rFonts w:ascii="宋体" w:eastAsia="宋体" w:hAnsi="宋体" w:cs="宋体" w:hint="eastAsia"/>
          <w:sz w:val="21"/>
          <w:szCs w:val="21"/>
        </w:rPr>
        <w:t>：</w:t>
      </w:r>
      <w:r>
        <w:rPr>
          <w:rFonts w:ascii="宋体" w:eastAsia="宋体" w:hAnsi="宋体" w:cs="宋体"/>
          <w:sz w:val="21"/>
          <w:szCs w:val="21"/>
        </w:rPr>
        <w:t>18000</w:t>
      </w:r>
      <w:r>
        <w:rPr>
          <w:rFonts w:ascii="宋体" w:eastAsia="宋体" w:hAnsi="宋体" w:cs="宋体" w:hint="eastAsia"/>
          <w:sz w:val="21"/>
          <w:szCs w:val="21"/>
        </w:rPr>
        <w:t>元</w:t>
      </w:r>
      <w:r>
        <w:rPr>
          <w:rFonts w:ascii="宋体" w:eastAsia="宋体" w:hAnsi="宋体" w:cs="宋体"/>
          <w:sz w:val="21"/>
          <w:szCs w:val="21"/>
        </w:rPr>
        <w:t>，</w:t>
      </w:r>
    </w:p>
    <w:p w14:paraId="10B42654" w14:textId="77777777" w:rsidR="00586A39"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color w:val="000000" w:themeColor="text1"/>
          <w:sz w:val="21"/>
          <w:szCs w:val="21"/>
          <w:shd w:val="clear" w:color="auto" w:fill="FFFFFF"/>
        </w:rPr>
      </w:pPr>
      <w:r>
        <w:rPr>
          <w:rFonts w:ascii="宋体" w:eastAsia="宋体" w:hAnsi="宋体" w:cs="宋体" w:hint="eastAsia"/>
          <w:sz w:val="21"/>
          <w:szCs w:val="21"/>
        </w:rPr>
        <w:t>2、论文</w:t>
      </w:r>
      <w:r>
        <w:rPr>
          <w:rFonts w:ascii="宋体" w:eastAsia="宋体" w:hAnsi="宋体" w:cs="宋体"/>
          <w:sz w:val="21"/>
          <w:szCs w:val="21"/>
        </w:rPr>
        <w:t>答辩费</w:t>
      </w:r>
      <w:r>
        <w:rPr>
          <w:rFonts w:ascii="宋体" w:eastAsia="宋体" w:hAnsi="宋体" w:cs="宋体" w:hint="eastAsia"/>
          <w:sz w:val="21"/>
          <w:szCs w:val="21"/>
        </w:rPr>
        <w:t>：</w:t>
      </w:r>
      <w:r>
        <w:rPr>
          <w:rFonts w:ascii="宋体" w:eastAsia="宋体" w:hAnsi="宋体" w:cs="宋体"/>
          <w:sz w:val="21"/>
          <w:szCs w:val="21"/>
        </w:rPr>
        <w:t>9500</w:t>
      </w:r>
      <w:r>
        <w:rPr>
          <w:rFonts w:ascii="宋体" w:eastAsia="宋体" w:hAnsi="宋体" w:cs="宋体" w:hint="eastAsia"/>
          <w:sz w:val="21"/>
          <w:szCs w:val="21"/>
        </w:rPr>
        <w:t>元</w:t>
      </w:r>
    </w:p>
    <w:p w14:paraId="6A2F130B" w14:textId="77777777" w:rsidR="00586A39" w:rsidRDefault="00586A39">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2AFA857B" w14:textId="77777777" w:rsidR="00586A39"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获取证书：</w:t>
      </w:r>
    </w:p>
    <w:p w14:paraId="67DF9C85" w14:textId="77777777" w:rsidR="00586A39" w:rsidRDefault="00000000">
      <w:pPr>
        <w:pStyle w:val="a6"/>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1、学员按教学计划完成全部课程学习且考试合格者，颁发华东交通大学结业证书。</w:t>
      </w:r>
    </w:p>
    <w:p w14:paraId="0884762F" w14:textId="77777777" w:rsidR="00586A39" w:rsidRDefault="00000000">
      <w:pPr>
        <w:pStyle w:val="a6"/>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2、具有学士学位的学员且完成专业全部课程学习，通过同等学力</w:t>
      </w:r>
      <w:proofErr w:type="gramStart"/>
      <w:r>
        <w:rPr>
          <w:rFonts w:asciiTheme="minorEastAsia" w:hAnsiTheme="minorEastAsia" w:cstheme="minorEastAsia" w:hint="eastAsia"/>
          <w:sz w:val="21"/>
          <w:szCs w:val="21"/>
        </w:rPr>
        <w:t>申硕全国</w:t>
      </w:r>
      <w:proofErr w:type="gramEnd"/>
      <w:r>
        <w:rPr>
          <w:rFonts w:asciiTheme="minorEastAsia" w:hAnsiTheme="minorEastAsia" w:cstheme="minorEastAsia" w:hint="eastAsia"/>
          <w:sz w:val="21"/>
          <w:szCs w:val="21"/>
        </w:rPr>
        <w:t xml:space="preserve">统一考试后，可申请进入硕士学位论文撰写阶段，通过同等学力水平认定，经我校学位委员会批准，授予颁发硕士学位证书。 </w:t>
      </w:r>
    </w:p>
    <w:p w14:paraId="2FDCFD44" w14:textId="77777777" w:rsidR="00586A39" w:rsidRDefault="00586A39">
      <w:pPr>
        <w:rPr>
          <w:rFonts w:ascii="宋体" w:eastAsia="宋体" w:hAnsi="宋体" w:cs="宋体" w:hint="eastAsia"/>
          <w:b/>
          <w:bCs/>
          <w:color w:val="000000" w:themeColor="text1"/>
          <w:sz w:val="44"/>
          <w:szCs w:val="44"/>
        </w:rPr>
      </w:pPr>
    </w:p>
    <w:sectPr w:rsidR="00586A39">
      <w:head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0D8C1" w14:textId="77777777" w:rsidR="002C2225" w:rsidRDefault="002C2225">
      <w:r>
        <w:separator/>
      </w:r>
    </w:p>
  </w:endnote>
  <w:endnote w:type="continuationSeparator" w:id="0">
    <w:p w14:paraId="26DE07B1" w14:textId="77777777" w:rsidR="002C2225" w:rsidRDefault="002C2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C196A" w14:textId="77777777" w:rsidR="002C2225" w:rsidRDefault="002C2225">
      <w:r>
        <w:separator/>
      </w:r>
    </w:p>
  </w:footnote>
  <w:footnote w:type="continuationSeparator" w:id="0">
    <w:p w14:paraId="6D29EA78" w14:textId="77777777" w:rsidR="002C2225" w:rsidRDefault="002C22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B2A97" w14:textId="77777777" w:rsidR="00586A39" w:rsidRDefault="00000000">
    <w:pPr>
      <w:pStyle w:val="a5"/>
    </w:pPr>
    <w:r>
      <w:rPr>
        <w:noProof/>
      </w:rPr>
      <w:drawing>
        <wp:anchor distT="0" distB="0" distL="114300" distR="114300" simplePos="0" relativeHeight="251659264" behindDoc="1" locked="0" layoutInCell="1" allowOverlap="1" wp14:anchorId="1BFA4D32" wp14:editId="6C702EE9">
          <wp:simplePos x="0" y="0"/>
          <wp:positionH relativeFrom="margin">
            <wp:align>center</wp:align>
          </wp:positionH>
          <wp:positionV relativeFrom="margin">
            <wp:align>center</wp:align>
          </wp:positionV>
          <wp:extent cx="5274310" cy="5302250"/>
          <wp:effectExtent l="0" t="0" r="2540" b="12700"/>
          <wp:wrapNone/>
          <wp:docPr id="3" name="WordPictureWatermark13002" descr="华东交通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3002" descr="华东交通大学LOGO"/>
                  <pic:cNvPicPr>
                    <a:picLocks noChangeAspect="1"/>
                  </pic:cNvPicPr>
                </pic:nvPicPr>
                <pic:blipFill>
                  <a:blip r:embed="rId1">
                    <a:lum bright="69998" contrast="-70001"/>
                  </a:blip>
                  <a:stretch>
                    <a:fillRect/>
                  </a:stretch>
                </pic:blipFill>
                <pic:spPr>
                  <a:xfrm>
                    <a:off x="0" y="0"/>
                    <a:ext cx="5274310" cy="53022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EFA27"/>
    <w:multiLevelType w:val="singleLevel"/>
    <w:tmpl w:val="28EEFA27"/>
    <w:lvl w:ilvl="0">
      <w:start w:val="1"/>
      <w:numFmt w:val="chineseCounting"/>
      <w:suff w:val="nothing"/>
      <w:lvlText w:val="%1、"/>
      <w:lvlJc w:val="left"/>
      <w:rPr>
        <w:rFonts w:hint="eastAsia"/>
      </w:rPr>
    </w:lvl>
  </w:abstractNum>
  <w:abstractNum w:abstractNumId="1" w15:restartNumberingAfterBreak="0">
    <w:nsid w:val="7D471F8E"/>
    <w:multiLevelType w:val="singleLevel"/>
    <w:tmpl w:val="7D471F8E"/>
    <w:lvl w:ilvl="0">
      <w:start w:val="1"/>
      <w:numFmt w:val="decimal"/>
      <w:suff w:val="nothing"/>
      <w:lvlText w:val="%1、"/>
      <w:lvlJc w:val="left"/>
    </w:lvl>
  </w:abstractNum>
  <w:num w:numId="1" w16cid:durableId="400174688">
    <w:abstractNumId w:val="0"/>
  </w:num>
  <w:num w:numId="2" w16cid:durableId="6405730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GQ5ODQ5N2Q1NmI0ZDAwYTJiMTcyMmU3ZjhhMWE4NmEifQ=="/>
  </w:docVars>
  <w:rsids>
    <w:rsidRoot w:val="1A1B54BE"/>
    <w:rsid w:val="002C2225"/>
    <w:rsid w:val="00511A79"/>
    <w:rsid w:val="00586A39"/>
    <w:rsid w:val="00AB7A63"/>
    <w:rsid w:val="070F49A2"/>
    <w:rsid w:val="07277E4A"/>
    <w:rsid w:val="103E38B5"/>
    <w:rsid w:val="16321C77"/>
    <w:rsid w:val="1A1B54BE"/>
    <w:rsid w:val="1AE101ED"/>
    <w:rsid w:val="20F766A2"/>
    <w:rsid w:val="23971A56"/>
    <w:rsid w:val="2B914808"/>
    <w:rsid w:val="31C64CB7"/>
    <w:rsid w:val="31D53C4D"/>
    <w:rsid w:val="362829E1"/>
    <w:rsid w:val="452F6966"/>
    <w:rsid w:val="4D2F582F"/>
    <w:rsid w:val="5093612C"/>
    <w:rsid w:val="51B05393"/>
    <w:rsid w:val="570F1328"/>
    <w:rsid w:val="571254EA"/>
    <w:rsid w:val="5D1F2257"/>
    <w:rsid w:val="630F7A14"/>
    <w:rsid w:val="68442DFB"/>
    <w:rsid w:val="708F2FC6"/>
    <w:rsid w:val="74573252"/>
    <w:rsid w:val="752714C3"/>
    <w:rsid w:val="78E1125F"/>
    <w:rsid w:val="7AAD278C"/>
    <w:rsid w:val="7B0E5FF1"/>
    <w:rsid w:val="7B174702"/>
    <w:rsid w:val="7C2D6E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6AAF7B"/>
  <w15:docId w15:val="{D88A8247-54DD-4005-B9D0-40FB45AEB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BodyTextIndent1"/>
    <w:autoRedefine/>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autoRedefine/>
    <w:uiPriority w:val="9"/>
    <w:qFormat/>
    <w:pPr>
      <w:spacing w:line="600" w:lineRule="exact"/>
      <w:ind w:firstLineChars="200" w:firstLine="640"/>
      <w:outlineLvl w:val="2"/>
    </w:pPr>
    <w:rPr>
      <w:rFonts w:ascii="黑体" w:eastAsia="黑体" w:hAnsi="黑体"/>
      <w:color w:val="000000"/>
      <w:szCs w:val="32"/>
    </w:rPr>
  </w:style>
  <w:style w:type="paragraph" w:styleId="6">
    <w:name w:val="heading 6"/>
    <w:basedOn w:val="a"/>
    <w:next w:val="a"/>
    <w:autoRedefine/>
    <w:qFormat/>
    <w:pPr>
      <w:spacing w:before="100" w:beforeAutospacing="1" w:after="100" w:afterAutospacing="1"/>
      <w:jc w:val="left"/>
      <w:outlineLvl w:val="5"/>
    </w:pPr>
    <w:rPr>
      <w:rFonts w:ascii="宋体" w:hAnsi="宋体"/>
      <w:b/>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Indent1">
    <w:name w:val="Body Text Indent1"/>
    <w:basedOn w:val="a"/>
    <w:autoRedefine/>
    <w:uiPriority w:val="99"/>
    <w:qFormat/>
    <w:pPr>
      <w:ind w:leftChars="200" w:left="420"/>
    </w:pPr>
  </w:style>
  <w:style w:type="paragraph" w:styleId="a3">
    <w:name w:val="Plain Text"/>
    <w:basedOn w:val="a"/>
    <w:uiPriority w:val="99"/>
    <w:unhideWhenUsed/>
    <w:qFormat/>
    <w:pPr>
      <w:spacing w:line="600" w:lineRule="exact"/>
      <w:ind w:firstLineChars="200" w:firstLine="560"/>
    </w:pPr>
    <w:rPr>
      <w:rFonts w:ascii="宋体" w:eastAsia="仿宋_GB2312" w:hAnsi="Courier New" w:cs="Courier New"/>
      <w:sz w:val="32"/>
      <w:szCs w:val="21"/>
    </w:rPr>
  </w:style>
  <w:style w:type="paragraph" w:styleId="a4">
    <w:name w:val="footer"/>
    <w:basedOn w:val="a"/>
    <w:autoRedefine/>
    <w:qFormat/>
    <w:pPr>
      <w:tabs>
        <w:tab w:val="center" w:pos="4153"/>
        <w:tab w:val="right" w:pos="8306"/>
      </w:tabs>
      <w:snapToGrid w:val="0"/>
      <w:jc w:val="left"/>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autoRedefine/>
    <w:qFormat/>
    <w:pPr>
      <w:spacing w:beforeAutospacing="1" w:afterAutospacing="1"/>
      <w:jc w:val="left"/>
    </w:pPr>
    <w:rPr>
      <w:rFonts w:cs="Times New Roman"/>
      <w:kern w:val="0"/>
      <w:sz w:val="24"/>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qFormat/>
    <w:rPr>
      <w:color w:val="0000FF"/>
      <w:u w:val="single"/>
    </w:rPr>
  </w:style>
  <w:style w:type="character" w:styleId="aa">
    <w:name w:val="annotation reference"/>
    <w:basedOn w:val="a0"/>
    <w:autoRedefine/>
    <w:qFormat/>
    <w:rPr>
      <w:sz w:val="21"/>
      <w:szCs w:val="21"/>
    </w:rPr>
  </w:style>
  <w:style w:type="paragraph" w:customStyle="1" w:styleId="1">
    <w:name w:val="列出段落1"/>
    <w:basedOn w:val="a"/>
    <w:autoRedefine/>
    <w:qFormat/>
    <w:pPr>
      <w:ind w:firstLineChars="200" w:firstLine="420"/>
    </w:pPr>
    <w:rPr>
      <w:rFonts w:ascii="Calibri" w:eastAsia="宋体" w:hAnsi="Calibri" w:cs="Times New Roman"/>
    </w:rPr>
  </w:style>
  <w:style w:type="character" w:customStyle="1" w:styleId="font11">
    <w:name w:val="font11"/>
    <w:basedOn w:val="a0"/>
    <w:rPr>
      <w:rFonts w:ascii="仿宋_GB2312" w:eastAsia="仿宋_GB2312" w:cs="仿宋_GB2312"/>
      <w:color w:val="FF0000"/>
      <w:sz w:val="21"/>
      <w:szCs w:val="21"/>
      <w:u w:val="none"/>
    </w:rPr>
  </w:style>
  <w:style w:type="character" w:customStyle="1" w:styleId="font21">
    <w:name w:val="font21"/>
    <w:basedOn w:val="a0"/>
    <w:autoRedefine/>
    <w:qFormat/>
    <w:rPr>
      <w:rFonts w:ascii="仿宋_GB2312" w:eastAsia="仿宋_GB2312" w:cs="仿宋_GB2312" w:hint="default"/>
      <w:color w:val="FF0000"/>
      <w:sz w:val="21"/>
      <w:szCs w:val="21"/>
      <w:u w:val="none"/>
    </w:rPr>
  </w:style>
  <w:style w:type="paragraph" w:styleId="ab">
    <w:name w:val="List Paragraph"/>
    <w:basedOn w:val="a"/>
    <w:autoRedefine/>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rwxy.ecjtu.edu.cn/info/1030/1801.ht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278</Words>
  <Characters>1588</Characters>
  <Application>Microsoft Office Word</Application>
  <DocSecurity>0</DocSecurity>
  <Lines>13</Lines>
  <Paragraphs>3</Paragraphs>
  <ScaleCrop>false</ScaleCrop>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YSL</dc:creator>
  <cp:lastModifiedBy>方源 杨</cp:lastModifiedBy>
  <cp:revision>2</cp:revision>
  <dcterms:created xsi:type="dcterms:W3CDTF">2026-01-29T06:52:00Z</dcterms:created>
  <dcterms:modified xsi:type="dcterms:W3CDTF">2026-01-15T13:18:00Z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B7CB90D7B2474EF19A9A93E341E8EE57_13</vt:lpwstr>
  </property>
</Properties>
</file>