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FFE5E" w14:textId="77777777" w:rsidR="00B95791" w:rsidRDefault="00B95791"/>
    <w:p w14:paraId="06EE115A" w14:textId="77777777" w:rsidR="00B95791" w:rsidRDefault="00000000">
      <w:pPr>
        <w:jc w:val="center"/>
      </w:pPr>
      <w:r>
        <w:rPr>
          <w:noProof/>
        </w:rPr>
        <w:drawing>
          <wp:inline distT="0" distB="0" distL="114300" distR="114300" wp14:anchorId="15FD5334" wp14:editId="326DA811">
            <wp:extent cx="4863465" cy="1574800"/>
            <wp:effectExtent l="0" t="0" r="1333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4863465" cy="1574800"/>
                    </a:xfrm>
                    <a:prstGeom prst="rect">
                      <a:avLst/>
                    </a:prstGeom>
                    <a:noFill/>
                    <a:ln>
                      <a:noFill/>
                    </a:ln>
                  </pic:spPr>
                </pic:pic>
              </a:graphicData>
            </a:graphic>
          </wp:inline>
        </w:drawing>
      </w:r>
    </w:p>
    <w:p w14:paraId="761C5BD2" w14:textId="77777777" w:rsidR="00B95791" w:rsidRDefault="00000000">
      <w:pPr>
        <w:jc w:val="center"/>
        <w:rPr>
          <w:rFonts w:ascii="宋体" w:eastAsia="宋体" w:hAnsi="宋体" w:cs="宋体" w:hint="eastAsia"/>
          <w:b/>
          <w:bCs/>
          <w:color w:val="000000" w:themeColor="text1"/>
          <w:sz w:val="32"/>
          <w:szCs w:val="32"/>
        </w:rPr>
      </w:pPr>
      <w:r>
        <w:rPr>
          <w:rFonts w:ascii="宋体" w:eastAsia="宋体" w:hAnsi="宋体" w:cs="宋体" w:hint="eastAsia"/>
          <w:b/>
          <w:bCs/>
          <w:color w:val="000000" w:themeColor="text1"/>
          <w:sz w:val="32"/>
          <w:szCs w:val="32"/>
        </w:rPr>
        <w:t>华东交通大学统计学专业同等学力人员申请硕士学位</w:t>
      </w:r>
    </w:p>
    <w:p w14:paraId="38FB74FC" w14:textId="77777777" w:rsidR="00B95791" w:rsidRDefault="00000000">
      <w:pPr>
        <w:jc w:val="center"/>
        <w:rPr>
          <w:rFonts w:ascii="宋体" w:eastAsia="宋体" w:hAnsi="宋体" w:cs="宋体" w:hint="eastAsia"/>
          <w:b/>
          <w:bCs/>
          <w:color w:val="000000" w:themeColor="text1"/>
          <w:sz w:val="32"/>
          <w:szCs w:val="32"/>
        </w:rPr>
      </w:pPr>
      <w:r>
        <w:rPr>
          <w:rFonts w:ascii="宋体" w:eastAsia="宋体" w:hAnsi="宋体" w:cs="宋体" w:hint="eastAsia"/>
          <w:b/>
          <w:bCs/>
          <w:color w:val="000000" w:themeColor="text1"/>
          <w:sz w:val="32"/>
          <w:szCs w:val="32"/>
        </w:rPr>
        <w:t>招生简章</w:t>
      </w:r>
    </w:p>
    <w:p w14:paraId="21C3BE64" w14:textId="77777777" w:rsidR="00B95791" w:rsidRDefault="00B95791">
      <w:pPr>
        <w:adjustRightInd w:val="0"/>
        <w:snapToGrid w:val="0"/>
        <w:spacing w:line="360" w:lineRule="auto"/>
        <w:rPr>
          <w:rFonts w:ascii="宋体" w:eastAsia="宋体" w:hAnsi="宋体" w:cs="宋体" w:hint="eastAsia"/>
          <w:color w:val="000000" w:themeColor="text1"/>
          <w:sz w:val="24"/>
        </w:rPr>
      </w:pPr>
    </w:p>
    <w:p w14:paraId="6D6BC9CF" w14:textId="77777777" w:rsidR="00B95791"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学校简介：</w:t>
      </w:r>
    </w:p>
    <w:p w14:paraId="5B29EEFA" w14:textId="77777777" w:rsidR="00B95791"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b w:val="0"/>
          <w:bCs/>
          <w:color w:val="000000" w:themeColor="text1"/>
          <w:sz w:val="21"/>
          <w:szCs w:val="21"/>
          <w:shd w:val="clear" w:color="auto" w:fill="FFFFFF"/>
        </w:rPr>
      </w:pPr>
      <w:r>
        <w:rPr>
          <w:rStyle w:val="a8"/>
          <w:rFonts w:ascii="宋体" w:eastAsia="宋体" w:hAnsi="宋体" w:cs="宋体" w:hint="eastAsia"/>
          <w:b w:val="0"/>
          <w:bCs/>
          <w:color w:val="000000" w:themeColor="text1"/>
          <w:sz w:val="21"/>
          <w:szCs w:val="21"/>
          <w:shd w:val="clear" w:color="auto" w:fill="FFFFFF"/>
        </w:rPr>
        <w:t>华东交通大学是一所以交通为特色、轨道为核心、多学科协调发展的教学研究型大学，国铁集团与江西省人民政府、国家铁路局与江西省人民政府“双共建”高校，“中西部高校基础能力建设工程”高校，博士学位授权单位。学校涵盖工、经、管、文、理、法、教育、艺术等8个学科门类。拥有3个一级学科博士点、21个一级学科硕士点，工程学学科进入ESI全球前1%，3个学科入选江西省一流学科，4个学科成为江西省学科联盟牵头学科，具有19个专业学位授权类别，是硕士</w:t>
      </w:r>
      <w:proofErr w:type="gramStart"/>
      <w:r>
        <w:rPr>
          <w:rStyle w:val="a8"/>
          <w:rFonts w:ascii="宋体" w:eastAsia="宋体" w:hAnsi="宋体" w:cs="宋体" w:hint="eastAsia"/>
          <w:b w:val="0"/>
          <w:bCs/>
          <w:color w:val="000000" w:themeColor="text1"/>
          <w:sz w:val="21"/>
          <w:szCs w:val="21"/>
          <w:shd w:val="clear" w:color="auto" w:fill="FFFFFF"/>
        </w:rPr>
        <w:t>研究生推免工作</w:t>
      </w:r>
      <w:proofErr w:type="gramEnd"/>
      <w:r>
        <w:rPr>
          <w:rStyle w:val="a8"/>
          <w:rFonts w:ascii="宋体" w:eastAsia="宋体" w:hAnsi="宋体" w:cs="宋体" w:hint="eastAsia"/>
          <w:b w:val="0"/>
          <w:bCs/>
          <w:color w:val="000000" w:themeColor="text1"/>
          <w:sz w:val="21"/>
          <w:szCs w:val="21"/>
          <w:shd w:val="clear" w:color="auto" w:fill="FFFFFF"/>
        </w:rPr>
        <w:t>单位。</w:t>
      </w:r>
    </w:p>
    <w:p w14:paraId="72C1D27F" w14:textId="77777777" w:rsidR="00B95791"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b w:val="0"/>
          <w:bCs/>
          <w:color w:val="000000" w:themeColor="text1"/>
          <w:sz w:val="21"/>
          <w:szCs w:val="21"/>
          <w:shd w:val="clear" w:color="auto" w:fill="FFFFFF"/>
        </w:rPr>
      </w:pPr>
      <w:r>
        <w:rPr>
          <w:rStyle w:val="a8"/>
          <w:rFonts w:ascii="宋体" w:eastAsia="宋体" w:hAnsi="宋体" w:cs="宋体" w:hint="eastAsia"/>
          <w:b w:val="0"/>
          <w:bCs/>
          <w:color w:val="000000" w:themeColor="text1"/>
          <w:sz w:val="21"/>
          <w:szCs w:val="21"/>
          <w:shd w:val="clear" w:color="auto" w:fill="FFFFFF"/>
        </w:rPr>
        <w:t>经济管理学院始于1984年经济管理系，1999年正式成为经济管理学院，拥有工商管理、应用经济学、统计学等3个一级学科硕士点，其中工商管理为省级示范性硕士点；拥有工商管理硕士（MBA）、会计硕士(</w:t>
      </w:r>
      <w:proofErr w:type="spellStart"/>
      <w:r>
        <w:rPr>
          <w:rStyle w:val="a8"/>
          <w:rFonts w:ascii="宋体" w:eastAsia="宋体" w:hAnsi="宋体" w:cs="宋体" w:hint="eastAsia"/>
          <w:b w:val="0"/>
          <w:bCs/>
          <w:color w:val="000000" w:themeColor="text1"/>
          <w:sz w:val="21"/>
          <w:szCs w:val="21"/>
          <w:shd w:val="clear" w:color="auto" w:fill="FFFFFF"/>
        </w:rPr>
        <w:t>MPAcc</w:t>
      </w:r>
      <w:proofErr w:type="spellEnd"/>
      <w:r>
        <w:rPr>
          <w:rStyle w:val="a8"/>
          <w:rFonts w:ascii="宋体" w:eastAsia="宋体" w:hAnsi="宋体" w:cs="宋体" w:hint="eastAsia"/>
          <w:b w:val="0"/>
          <w:bCs/>
          <w:color w:val="000000" w:themeColor="text1"/>
          <w:sz w:val="21"/>
          <w:szCs w:val="21"/>
          <w:shd w:val="clear" w:color="auto" w:fill="FFFFFF"/>
        </w:rPr>
        <w:t>)、金融硕士（MF）、应用统计硕士（MAS）、工程管理（MEM）等5个专业学位授权点。现有省级研究平台2个，省级共建平台2个，校级研究所3个，院级研究所7个。学院具有硕士研究生保送资格，现有在校本科生约2000名、全日制及非全日制研究生近千人。</w:t>
      </w:r>
    </w:p>
    <w:p w14:paraId="10B53EA3" w14:textId="77777777" w:rsidR="00B95791"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b w:val="0"/>
          <w:bCs/>
          <w:color w:val="000000" w:themeColor="text1"/>
          <w:sz w:val="21"/>
          <w:szCs w:val="21"/>
          <w:shd w:val="clear" w:color="auto" w:fill="FFFFFF"/>
        </w:rPr>
      </w:pPr>
      <w:r>
        <w:rPr>
          <w:rStyle w:val="a8"/>
          <w:rFonts w:ascii="宋体" w:eastAsia="宋体" w:hAnsi="宋体" w:cs="宋体" w:hint="eastAsia"/>
          <w:b w:val="0"/>
          <w:bCs/>
          <w:color w:val="000000" w:themeColor="text1"/>
          <w:sz w:val="21"/>
          <w:szCs w:val="21"/>
          <w:shd w:val="clear" w:color="auto" w:fill="FFFFFF"/>
        </w:rPr>
        <w:t>统计学学科具有悠久的办学历史，1984年铁道部最先在本校设立计划统计专业，2000年获统计学硕士学位授权，2008年获数理统计与应用数学硕士学位授权，2010年</w:t>
      </w:r>
      <w:proofErr w:type="gramStart"/>
      <w:r>
        <w:rPr>
          <w:rStyle w:val="a8"/>
          <w:rFonts w:ascii="宋体" w:eastAsia="宋体" w:hAnsi="宋体" w:cs="宋体" w:hint="eastAsia"/>
          <w:b w:val="0"/>
          <w:bCs/>
          <w:color w:val="000000" w:themeColor="text1"/>
          <w:sz w:val="21"/>
          <w:szCs w:val="21"/>
          <w:shd w:val="clear" w:color="auto" w:fill="FFFFFF"/>
        </w:rPr>
        <w:t>获应用</w:t>
      </w:r>
      <w:proofErr w:type="gramEnd"/>
      <w:r>
        <w:rPr>
          <w:rStyle w:val="a8"/>
          <w:rFonts w:ascii="宋体" w:eastAsia="宋体" w:hAnsi="宋体" w:cs="宋体" w:hint="eastAsia"/>
          <w:b w:val="0"/>
          <w:bCs/>
          <w:color w:val="000000" w:themeColor="text1"/>
          <w:sz w:val="21"/>
          <w:szCs w:val="21"/>
          <w:shd w:val="clear" w:color="auto" w:fill="FFFFFF"/>
        </w:rPr>
        <w:t>统计专业硕士学位授权，2013年获批统计学一级学科硕士点，2020年经济统计学专业被评为江西省一流本科专业，2022年入选学校“十四五”学科特区。本学科瞄准统计学国际前沿和国家战略需求，围绕社会经济统计、应用统计、数理统计、交通运输统计方向开展研究。学科特色表现为针对中国经济发展规律和数据特征改进和扩展现有经济统计研究方法，应用于中国经济问题研究。在非线性阈值协整、高维大数据应用与货币政策方面成果突出。</w:t>
      </w:r>
    </w:p>
    <w:p w14:paraId="1430A74B" w14:textId="39278752" w:rsidR="00B95791"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b w:val="0"/>
          <w:bCs/>
          <w:color w:val="000000" w:themeColor="text1"/>
          <w:sz w:val="21"/>
          <w:szCs w:val="21"/>
          <w:shd w:val="clear" w:color="auto" w:fill="FFFFFF"/>
        </w:rPr>
      </w:pPr>
      <w:r>
        <w:rPr>
          <w:rStyle w:val="a8"/>
          <w:rFonts w:ascii="宋体" w:eastAsia="宋体" w:hAnsi="宋体" w:cs="宋体" w:hint="eastAsia"/>
          <w:b w:val="0"/>
          <w:bCs/>
          <w:color w:val="000000" w:themeColor="text1"/>
          <w:sz w:val="21"/>
          <w:szCs w:val="21"/>
          <w:shd w:val="clear" w:color="auto" w:fill="FFFFFF"/>
        </w:rPr>
        <w:t>华东交通大学经济管理学院面向社会开设统计学专业同等学力人员申请硕士学位课程班，用以培养更多的高级专业人才。</w:t>
      </w:r>
    </w:p>
    <w:p w14:paraId="298EA4F1" w14:textId="77777777" w:rsidR="00B95791" w:rsidRPr="00FD7F8C" w:rsidRDefault="00B95791">
      <w:pPr>
        <w:pStyle w:val="a6"/>
        <w:widowControl/>
        <w:adjustRightInd w:val="0"/>
        <w:snapToGrid w:val="0"/>
        <w:spacing w:beforeAutospacing="0" w:afterAutospacing="0" w:line="360" w:lineRule="auto"/>
        <w:jc w:val="both"/>
        <w:rPr>
          <w:rStyle w:val="a8"/>
          <w:rFonts w:ascii="宋体" w:eastAsia="宋体" w:hAnsi="宋体" w:cs="宋体" w:hint="eastAsia"/>
          <w:b w:val="0"/>
          <w:bCs/>
          <w:color w:val="000000" w:themeColor="text1"/>
          <w:sz w:val="21"/>
          <w:szCs w:val="21"/>
          <w:shd w:val="clear" w:color="auto" w:fill="FFFFFF"/>
        </w:rPr>
      </w:pPr>
    </w:p>
    <w:p w14:paraId="605A69F8" w14:textId="77777777" w:rsidR="00B95791"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lastRenderedPageBreak/>
        <w:t>培养目标：</w:t>
      </w:r>
    </w:p>
    <w:p w14:paraId="07A046AF" w14:textId="77777777" w:rsidR="00B95791"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b w:val="0"/>
          <w:bCs/>
          <w:color w:val="000000" w:themeColor="text1"/>
          <w:sz w:val="21"/>
          <w:szCs w:val="21"/>
          <w:shd w:val="clear" w:color="auto" w:fill="FFFFFF"/>
          <w:lang w:bidi="ar"/>
        </w:rPr>
      </w:pPr>
      <w:r>
        <w:rPr>
          <w:rStyle w:val="a8"/>
          <w:rFonts w:ascii="宋体" w:eastAsia="宋体" w:hAnsi="宋体" w:cs="宋体" w:hint="eastAsia"/>
          <w:b w:val="0"/>
          <w:bCs/>
          <w:color w:val="000000" w:themeColor="text1"/>
          <w:sz w:val="21"/>
          <w:szCs w:val="21"/>
          <w:shd w:val="clear" w:color="auto" w:fill="FFFFFF"/>
          <w:lang w:eastAsia="zh-TW" w:bidi="ar"/>
        </w:rPr>
        <w:t>本</w:t>
      </w:r>
      <w:r>
        <w:rPr>
          <w:rStyle w:val="a8"/>
          <w:rFonts w:ascii="宋体" w:eastAsia="宋体" w:hAnsi="宋体" w:cs="宋体" w:hint="eastAsia"/>
          <w:b w:val="0"/>
          <w:bCs/>
          <w:color w:val="000000" w:themeColor="text1"/>
          <w:sz w:val="21"/>
          <w:szCs w:val="21"/>
          <w:shd w:val="clear" w:color="auto" w:fill="FFFFFF"/>
          <w:lang w:bidi="ar"/>
        </w:rPr>
        <w:t>专业要求学员掌握统计学学科坚实的基础理论、系统的专业知识和科学的研究方法，有献身科学的强烈事业心和创新精神，恪守学术道德，具有严谨的科研作风，良好的团队合作精神和较强的交流能力。具有扎实的数学、统计学、计算机等的基本理论与方法，并熟练应用统计分析软件，具备从事统计数据特别是大数据背景</w:t>
      </w:r>
      <w:proofErr w:type="gramStart"/>
      <w:r>
        <w:rPr>
          <w:rStyle w:val="a8"/>
          <w:rFonts w:ascii="宋体" w:eastAsia="宋体" w:hAnsi="宋体" w:cs="宋体" w:hint="eastAsia"/>
          <w:b w:val="0"/>
          <w:bCs/>
          <w:color w:val="000000" w:themeColor="text1"/>
          <w:sz w:val="21"/>
          <w:szCs w:val="21"/>
          <w:shd w:val="clear" w:color="auto" w:fill="FFFFFF"/>
          <w:lang w:bidi="ar"/>
        </w:rPr>
        <w:t>下数据</w:t>
      </w:r>
      <w:proofErr w:type="gramEnd"/>
      <w:r>
        <w:rPr>
          <w:rStyle w:val="a8"/>
          <w:rFonts w:ascii="宋体" w:eastAsia="宋体" w:hAnsi="宋体" w:cs="宋体" w:hint="eastAsia"/>
          <w:b w:val="0"/>
          <w:bCs/>
          <w:color w:val="000000" w:themeColor="text1"/>
          <w:sz w:val="21"/>
          <w:szCs w:val="21"/>
          <w:shd w:val="clear" w:color="auto" w:fill="FFFFFF"/>
          <w:lang w:bidi="ar"/>
        </w:rPr>
        <w:t>的收集、整理、分析、预测和应用的基本技能。培养具有一定的国际视野，具有继续攻读博士学位或独立从事科学研究、教学工作或担负专门技术工作的能力，在教学、科学研究或专门技术工作中具有一定组织和管理能力的高层次专门人才。</w:t>
      </w:r>
    </w:p>
    <w:p w14:paraId="2AC45728" w14:textId="77777777" w:rsidR="00B95791" w:rsidRDefault="00B95791">
      <w:pPr>
        <w:pStyle w:val="a6"/>
        <w:widowControl/>
        <w:adjustRightInd w:val="0"/>
        <w:snapToGrid w:val="0"/>
        <w:spacing w:beforeAutospacing="0" w:afterAutospacing="0" w:line="360" w:lineRule="auto"/>
        <w:jc w:val="both"/>
        <w:rPr>
          <w:rStyle w:val="a8"/>
          <w:rFonts w:ascii="宋体" w:eastAsia="宋体" w:hAnsi="宋体" w:cs="宋体" w:hint="eastAsia"/>
          <w:b w:val="0"/>
          <w:bCs/>
          <w:color w:val="000000" w:themeColor="text1"/>
          <w:sz w:val="21"/>
          <w:szCs w:val="21"/>
          <w:shd w:val="clear" w:color="auto" w:fill="FFFFFF"/>
          <w:lang w:bidi="ar"/>
        </w:rPr>
      </w:pPr>
    </w:p>
    <w:p w14:paraId="49505A1F" w14:textId="77777777" w:rsidR="00B95791"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课程设置：</w:t>
      </w:r>
    </w:p>
    <w:tbl>
      <w:tblPr>
        <w:tblStyle w:val="a7"/>
        <w:tblW w:w="0" w:type="auto"/>
        <w:tblLook w:val="04A0" w:firstRow="1" w:lastRow="0" w:firstColumn="1" w:lastColumn="0" w:noHBand="0" w:noVBand="1"/>
      </w:tblPr>
      <w:tblGrid>
        <w:gridCol w:w="1591"/>
        <w:gridCol w:w="3620"/>
        <w:gridCol w:w="3311"/>
      </w:tblGrid>
      <w:tr w:rsidR="00B95791" w14:paraId="0F5BE050" w14:textId="77777777">
        <w:trPr>
          <w:trHeight w:val="454"/>
        </w:trPr>
        <w:tc>
          <w:tcPr>
            <w:tcW w:w="8522" w:type="dxa"/>
            <w:gridSpan w:val="3"/>
          </w:tcPr>
          <w:p w14:paraId="2A9E20C5" w14:textId="77777777" w:rsidR="00B95791" w:rsidRDefault="00000000">
            <w:pPr>
              <w:spacing w:line="360" w:lineRule="auto"/>
              <w:contextualSpacing/>
              <w:jc w:val="center"/>
              <w:rPr>
                <w:rFonts w:asciiTheme="minorEastAsia" w:hAnsiTheme="minorEastAsia" w:cstheme="minorEastAsia" w:hint="eastAsia"/>
                <w:b/>
                <w:szCs w:val="21"/>
              </w:rPr>
            </w:pPr>
            <w:r>
              <w:rPr>
                <w:rFonts w:asciiTheme="minorEastAsia" w:hAnsiTheme="minorEastAsia" w:cstheme="minorEastAsia" w:hint="eastAsia"/>
                <w:b/>
                <w:szCs w:val="21"/>
              </w:rPr>
              <w:t>统计学专业课程设置</w:t>
            </w:r>
          </w:p>
        </w:tc>
      </w:tr>
      <w:tr w:rsidR="00B95791" w14:paraId="50758878" w14:textId="77777777">
        <w:trPr>
          <w:trHeight w:val="454"/>
        </w:trPr>
        <w:tc>
          <w:tcPr>
            <w:tcW w:w="1591" w:type="dxa"/>
            <w:vAlign w:val="center"/>
          </w:tcPr>
          <w:p w14:paraId="52B9201F" w14:textId="77777777" w:rsidR="00B9579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b/>
                <w:bCs/>
                <w:szCs w:val="21"/>
              </w:rPr>
              <w:t>公共课</w:t>
            </w:r>
          </w:p>
        </w:tc>
        <w:tc>
          <w:tcPr>
            <w:tcW w:w="3620" w:type="dxa"/>
          </w:tcPr>
          <w:p w14:paraId="231234E8" w14:textId="77777777" w:rsidR="00B95791" w:rsidRDefault="00000000">
            <w:pPr>
              <w:spacing w:line="360" w:lineRule="auto"/>
              <w:contextualSpacing/>
              <w:jc w:val="center"/>
              <w:rPr>
                <w:rFonts w:asciiTheme="minorEastAsia" w:hAnsiTheme="minorEastAsia" w:cstheme="minorEastAsia" w:hint="eastAsia"/>
                <w:szCs w:val="21"/>
              </w:rPr>
            </w:pPr>
            <w:r>
              <w:rPr>
                <w:rStyle w:val="a8"/>
                <w:rFonts w:ascii="宋体" w:eastAsia="宋体" w:hAnsi="宋体" w:cs="宋体" w:hint="eastAsia"/>
                <w:b w:val="0"/>
                <w:bCs/>
                <w:color w:val="000000" w:themeColor="text1"/>
                <w:kern w:val="0"/>
                <w:szCs w:val="21"/>
                <w:shd w:val="clear" w:color="auto" w:fill="FFFFFF"/>
                <w:lang w:bidi="ar"/>
              </w:rPr>
              <w:t>中国特色社会主义理论与实践研究</w:t>
            </w:r>
          </w:p>
        </w:tc>
        <w:tc>
          <w:tcPr>
            <w:tcW w:w="3311" w:type="dxa"/>
          </w:tcPr>
          <w:p w14:paraId="0C84747D" w14:textId="77777777" w:rsidR="00B9579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综合英语</w:t>
            </w:r>
          </w:p>
        </w:tc>
      </w:tr>
      <w:tr w:rsidR="00B95791" w14:paraId="5C97E4D5" w14:textId="77777777">
        <w:trPr>
          <w:trHeight w:val="454"/>
        </w:trPr>
        <w:tc>
          <w:tcPr>
            <w:tcW w:w="1591" w:type="dxa"/>
            <w:vMerge w:val="restart"/>
          </w:tcPr>
          <w:p w14:paraId="4801521D" w14:textId="77777777" w:rsidR="00B95791" w:rsidRDefault="00B95791">
            <w:pPr>
              <w:spacing w:line="360" w:lineRule="auto"/>
              <w:contextualSpacing/>
              <w:jc w:val="center"/>
              <w:rPr>
                <w:rFonts w:asciiTheme="minorEastAsia" w:hAnsiTheme="minorEastAsia" w:cstheme="minorEastAsia" w:hint="eastAsia"/>
                <w:szCs w:val="21"/>
              </w:rPr>
            </w:pPr>
          </w:p>
          <w:p w14:paraId="75B7F94D" w14:textId="77777777" w:rsidR="00B95791" w:rsidRDefault="00B95791">
            <w:pPr>
              <w:spacing w:line="360" w:lineRule="auto"/>
              <w:contextualSpacing/>
              <w:jc w:val="center"/>
              <w:rPr>
                <w:rFonts w:asciiTheme="minorEastAsia" w:hAnsiTheme="minorEastAsia" w:cstheme="minorEastAsia" w:hint="eastAsia"/>
                <w:szCs w:val="21"/>
              </w:rPr>
            </w:pPr>
          </w:p>
          <w:p w14:paraId="2DE3E5DA" w14:textId="77777777" w:rsidR="00B9579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b/>
                <w:bCs/>
                <w:szCs w:val="21"/>
              </w:rPr>
              <w:t>专业课</w:t>
            </w:r>
          </w:p>
        </w:tc>
        <w:tc>
          <w:tcPr>
            <w:tcW w:w="3620" w:type="dxa"/>
          </w:tcPr>
          <w:p w14:paraId="1AF59ECF" w14:textId="77777777" w:rsidR="00B9579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多元统计分析</w:t>
            </w:r>
          </w:p>
        </w:tc>
        <w:tc>
          <w:tcPr>
            <w:tcW w:w="3311" w:type="dxa"/>
          </w:tcPr>
          <w:p w14:paraId="5BDA3108" w14:textId="77777777" w:rsidR="00B9579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数据仓库与数据挖掘</w:t>
            </w:r>
          </w:p>
        </w:tc>
      </w:tr>
      <w:tr w:rsidR="00B95791" w14:paraId="25456F3F" w14:textId="77777777">
        <w:trPr>
          <w:trHeight w:val="454"/>
        </w:trPr>
        <w:tc>
          <w:tcPr>
            <w:tcW w:w="1591" w:type="dxa"/>
            <w:vMerge/>
          </w:tcPr>
          <w:p w14:paraId="4A32B2EB" w14:textId="77777777" w:rsidR="00B95791" w:rsidRDefault="00B95791">
            <w:pPr>
              <w:spacing w:line="360" w:lineRule="auto"/>
              <w:contextualSpacing/>
              <w:jc w:val="center"/>
              <w:rPr>
                <w:rFonts w:asciiTheme="minorEastAsia" w:hAnsiTheme="minorEastAsia" w:cstheme="minorEastAsia" w:hint="eastAsia"/>
                <w:b/>
                <w:bCs/>
                <w:szCs w:val="21"/>
              </w:rPr>
            </w:pPr>
          </w:p>
        </w:tc>
        <w:tc>
          <w:tcPr>
            <w:tcW w:w="3620" w:type="dxa"/>
          </w:tcPr>
          <w:p w14:paraId="1606BEA9" w14:textId="77777777" w:rsidR="00B9579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Python语言及数据分析</w:t>
            </w:r>
          </w:p>
        </w:tc>
        <w:tc>
          <w:tcPr>
            <w:tcW w:w="3311" w:type="dxa"/>
          </w:tcPr>
          <w:p w14:paraId="1BCD1258" w14:textId="77777777" w:rsidR="00B9579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统计学</w:t>
            </w:r>
          </w:p>
        </w:tc>
      </w:tr>
      <w:tr w:rsidR="00B95791" w14:paraId="3362977F" w14:textId="77777777">
        <w:trPr>
          <w:trHeight w:val="454"/>
        </w:trPr>
        <w:tc>
          <w:tcPr>
            <w:tcW w:w="1591" w:type="dxa"/>
            <w:vMerge/>
          </w:tcPr>
          <w:p w14:paraId="73C97CFB" w14:textId="77777777" w:rsidR="00B95791" w:rsidRDefault="00B95791">
            <w:pPr>
              <w:spacing w:line="360" w:lineRule="auto"/>
              <w:contextualSpacing/>
              <w:jc w:val="center"/>
              <w:rPr>
                <w:rFonts w:asciiTheme="minorEastAsia" w:hAnsiTheme="minorEastAsia" w:cstheme="minorEastAsia" w:hint="eastAsia"/>
                <w:szCs w:val="21"/>
              </w:rPr>
            </w:pPr>
          </w:p>
        </w:tc>
        <w:tc>
          <w:tcPr>
            <w:tcW w:w="3620" w:type="dxa"/>
          </w:tcPr>
          <w:p w14:paraId="13CC92C3" w14:textId="77777777" w:rsidR="00B9579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学科前沿讲座</w:t>
            </w:r>
          </w:p>
        </w:tc>
        <w:tc>
          <w:tcPr>
            <w:tcW w:w="3311" w:type="dxa"/>
          </w:tcPr>
          <w:p w14:paraId="2A26F3C5" w14:textId="77777777" w:rsidR="00B9579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中级微观经济学</w:t>
            </w:r>
          </w:p>
        </w:tc>
      </w:tr>
      <w:tr w:rsidR="00B95791" w14:paraId="5ECA973F" w14:textId="77777777">
        <w:trPr>
          <w:trHeight w:val="454"/>
        </w:trPr>
        <w:tc>
          <w:tcPr>
            <w:tcW w:w="1591" w:type="dxa"/>
            <w:vMerge/>
          </w:tcPr>
          <w:p w14:paraId="685AAF30" w14:textId="77777777" w:rsidR="00B95791" w:rsidRDefault="00B95791">
            <w:pPr>
              <w:spacing w:line="360" w:lineRule="auto"/>
              <w:contextualSpacing/>
              <w:jc w:val="center"/>
              <w:rPr>
                <w:rFonts w:asciiTheme="minorEastAsia" w:hAnsiTheme="minorEastAsia" w:cstheme="minorEastAsia" w:hint="eastAsia"/>
                <w:szCs w:val="21"/>
              </w:rPr>
            </w:pPr>
          </w:p>
        </w:tc>
        <w:tc>
          <w:tcPr>
            <w:tcW w:w="3620" w:type="dxa"/>
          </w:tcPr>
          <w:p w14:paraId="79FFAC49" w14:textId="77777777" w:rsidR="00B9579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中级宏观经济学</w:t>
            </w:r>
          </w:p>
        </w:tc>
        <w:tc>
          <w:tcPr>
            <w:tcW w:w="3311" w:type="dxa"/>
          </w:tcPr>
          <w:p w14:paraId="60816347" w14:textId="77777777" w:rsidR="00B9579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现代管理学</w:t>
            </w:r>
          </w:p>
        </w:tc>
      </w:tr>
      <w:tr w:rsidR="00B95791" w14:paraId="040F6196" w14:textId="77777777">
        <w:trPr>
          <w:trHeight w:val="454"/>
        </w:trPr>
        <w:tc>
          <w:tcPr>
            <w:tcW w:w="1591" w:type="dxa"/>
            <w:vMerge/>
          </w:tcPr>
          <w:p w14:paraId="1D1940C7" w14:textId="77777777" w:rsidR="00B95791" w:rsidRDefault="00B95791">
            <w:pPr>
              <w:spacing w:line="360" w:lineRule="auto"/>
              <w:contextualSpacing/>
              <w:jc w:val="center"/>
              <w:rPr>
                <w:rFonts w:asciiTheme="minorEastAsia" w:hAnsiTheme="minorEastAsia" w:cstheme="minorEastAsia" w:hint="eastAsia"/>
                <w:szCs w:val="21"/>
              </w:rPr>
            </w:pPr>
          </w:p>
        </w:tc>
        <w:tc>
          <w:tcPr>
            <w:tcW w:w="3620" w:type="dxa"/>
          </w:tcPr>
          <w:p w14:paraId="6CD6D38E" w14:textId="77777777" w:rsidR="00B9579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中级财务会计</w:t>
            </w:r>
          </w:p>
        </w:tc>
        <w:tc>
          <w:tcPr>
            <w:tcW w:w="3311" w:type="dxa"/>
          </w:tcPr>
          <w:p w14:paraId="087ED072" w14:textId="77777777" w:rsidR="00B9579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计量经济学</w:t>
            </w:r>
          </w:p>
        </w:tc>
      </w:tr>
      <w:tr w:rsidR="00B95791" w14:paraId="0D0133A5" w14:textId="77777777">
        <w:trPr>
          <w:trHeight w:val="454"/>
        </w:trPr>
        <w:tc>
          <w:tcPr>
            <w:tcW w:w="1591" w:type="dxa"/>
            <w:vMerge/>
          </w:tcPr>
          <w:p w14:paraId="5D1F657F" w14:textId="77777777" w:rsidR="00B95791" w:rsidRDefault="00B95791">
            <w:pPr>
              <w:spacing w:line="360" w:lineRule="auto"/>
              <w:contextualSpacing/>
              <w:jc w:val="center"/>
              <w:rPr>
                <w:rFonts w:asciiTheme="minorEastAsia" w:hAnsiTheme="minorEastAsia" w:cstheme="minorEastAsia" w:hint="eastAsia"/>
                <w:szCs w:val="21"/>
              </w:rPr>
            </w:pPr>
          </w:p>
        </w:tc>
        <w:tc>
          <w:tcPr>
            <w:tcW w:w="3620" w:type="dxa"/>
          </w:tcPr>
          <w:p w14:paraId="1885A736" w14:textId="77777777" w:rsidR="00B9579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统计理论与方法</w:t>
            </w:r>
          </w:p>
        </w:tc>
        <w:tc>
          <w:tcPr>
            <w:tcW w:w="3311" w:type="dxa"/>
          </w:tcPr>
          <w:p w14:paraId="5A6C6F93" w14:textId="77777777" w:rsidR="00B9579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时间序列分析</w:t>
            </w:r>
          </w:p>
        </w:tc>
      </w:tr>
    </w:tbl>
    <w:p w14:paraId="0227013C" w14:textId="77777777" w:rsidR="00B95791" w:rsidRDefault="00B95791">
      <w:pPr>
        <w:pStyle w:val="a6"/>
        <w:widowControl/>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p>
    <w:p w14:paraId="2D67086E" w14:textId="77777777" w:rsidR="00B95791" w:rsidRDefault="00000000">
      <w:pPr>
        <w:pStyle w:val="a6"/>
        <w:snapToGrid w:val="0"/>
        <w:spacing w:beforeAutospacing="0" w:afterAutospacing="0" w:line="360" w:lineRule="auto"/>
        <w:contextualSpacing/>
        <w:jc w:val="center"/>
        <w:rPr>
          <w:rStyle w:val="a8"/>
          <w:rFonts w:ascii="宋体" w:eastAsia="宋体" w:hAnsi="宋体" w:cs="宋体" w:hint="eastAsia"/>
          <w:color w:val="000000" w:themeColor="text1"/>
          <w:shd w:val="clear" w:color="auto" w:fill="FFFFFF"/>
        </w:rPr>
      </w:pPr>
      <w:r>
        <w:rPr>
          <w:rFonts w:asciiTheme="minorEastAsia" w:hAnsiTheme="minorEastAsia" w:cstheme="minorEastAsia" w:hint="eastAsia"/>
          <w:sz w:val="21"/>
          <w:szCs w:val="21"/>
        </w:rPr>
        <w:t>注：部分课程教学参照实际</w:t>
      </w:r>
    </w:p>
    <w:p w14:paraId="64BB2F30" w14:textId="77777777" w:rsidR="00B95791" w:rsidRDefault="00B95791">
      <w:pPr>
        <w:pStyle w:val="a6"/>
        <w:widowControl/>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p>
    <w:p w14:paraId="7C0E435D" w14:textId="77777777" w:rsidR="00B95791"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培养方式和学制：</w:t>
      </w:r>
    </w:p>
    <w:p w14:paraId="4A3B3B73" w14:textId="77777777" w:rsidR="00B95791" w:rsidRDefault="00000000">
      <w:pPr>
        <w:pStyle w:val="a6"/>
        <w:widowControl/>
        <w:spacing w:beforeAutospacing="0" w:afterAutospacing="0" w:line="360" w:lineRule="auto"/>
        <w:ind w:firstLineChars="200" w:firstLine="420"/>
        <w:jc w:val="both"/>
        <w:rPr>
          <w:rFonts w:asciiTheme="minorEastAsia" w:hAnsiTheme="minorEastAsia" w:cstheme="minorEastAsia" w:hint="eastAsia"/>
          <w:color w:val="000000" w:themeColor="text1"/>
          <w:sz w:val="21"/>
          <w:szCs w:val="21"/>
        </w:rPr>
      </w:pPr>
      <w:r>
        <w:rPr>
          <w:rFonts w:asciiTheme="minorEastAsia" w:hAnsiTheme="minorEastAsia" w:cstheme="minorEastAsia" w:hint="eastAsia"/>
          <w:color w:val="000000" w:themeColor="text1"/>
          <w:sz w:val="21"/>
          <w:szCs w:val="21"/>
          <w:lang w:bidi="ar"/>
        </w:rPr>
        <w:t>1、学习方式：在职不脱产，线上授课；</w:t>
      </w:r>
    </w:p>
    <w:p w14:paraId="5D647D92" w14:textId="77777777" w:rsidR="00B95791" w:rsidRDefault="00000000">
      <w:pPr>
        <w:pStyle w:val="a6"/>
        <w:widowControl/>
        <w:spacing w:beforeAutospacing="0" w:afterAutospacing="0" w:line="360" w:lineRule="auto"/>
        <w:ind w:firstLineChars="200" w:firstLine="420"/>
        <w:jc w:val="both"/>
        <w:rPr>
          <w:rFonts w:asciiTheme="minorEastAsia" w:hAnsiTheme="minorEastAsia" w:cstheme="minorEastAsia" w:hint="eastAsia"/>
          <w:color w:val="000000" w:themeColor="text1"/>
          <w:sz w:val="21"/>
          <w:szCs w:val="21"/>
        </w:rPr>
      </w:pPr>
      <w:r>
        <w:rPr>
          <w:rFonts w:asciiTheme="minorEastAsia" w:hAnsiTheme="minorEastAsia" w:cstheme="minorEastAsia" w:hint="eastAsia"/>
          <w:color w:val="000000" w:themeColor="text1"/>
          <w:sz w:val="21"/>
          <w:szCs w:val="21"/>
        </w:rPr>
        <w:t>2、学制：2年</w:t>
      </w:r>
    </w:p>
    <w:p w14:paraId="73323F39" w14:textId="77777777" w:rsidR="00B95791" w:rsidRDefault="00B95791">
      <w:pPr>
        <w:pStyle w:val="a6"/>
        <w:widowControl/>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p>
    <w:p w14:paraId="69B07134" w14:textId="77777777" w:rsidR="00B95791"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报名条件：</w:t>
      </w:r>
    </w:p>
    <w:p w14:paraId="30F3CFB4" w14:textId="77777777" w:rsidR="00B95791" w:rsidRDefault="00000000">
      <w:pPr>
        <w:pStyle w:val="a6"/>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1、热爱祖国，遵纪守法，品德端正，积极完成本职工作，身体健康；</w:t>
      </w:r>
    </w:p>
    <w:p w14:paraId="1473F0E1" w14:textId="77777777" w:rsidR="00B95791" w:rsidRDefault="00000000">
      <w:pPr>
        <w:pStyle w:val="a6"/>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2、本科已获得学士学位，并在获得学士学位后工作三年以上（含三年）；</w:t>
      </w:r>
    </w:p>
    <w:p w14:paraId="3EEC9BF7" w14:textId="77777777" w:rsidR="00B95791" w:rsidRDefault="00000000">
      <w:pPr>
        <w:pStyle w:val="a6"/>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3、虽无学士学位但已获得硕士或博士学位；</w:t>
      </w:r>
    </w:p>
    <w:p w14:paraId="16281D5D" w14:textId="77777777" w:rsidR="00B95791" w:rsidRDefault="00000000">
      <w:pPr>
        <w:pStyle w:val="a6"/>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4、对已获得的国（境）外学士、硕士或博士学位，须经过教育部留学服务中心认证。</w:t>
      </w:r>
    </w:p>
    <w:p w14:paraId="1BFB28F7" w14:textId="77777777" w:rsidR="00B95791" w:rsidRDefault="00000000">
      <w:pPr>
        <w:pStyle w:val="a6"/>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（统计学、应用经济学要求前置学位为理工科或经济管理类学士学位）</w:t>
      </w:r>
    </w:p>
    <w:p w14:paraId="0D5F5DB5" w14:textId="77777777" w:rsidR="00B95791" w:rsidRDefault="00B95791">
      <w:pPr>
        <w:pStyle w:val="a6"/>
        <w:widowControl/>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p>
    <w:p w14:paraId="1E9A914B" w14:textId="77777777" w:rsidR="00B95791"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报名材料：</w:t>
      </w:r>
    </w:p>
    <w:p w14:paraId="2AC4A7FD" w14:textId="77777777" w:rsidR="00B95791" w:rsidRDefault="00000000">
      <w:pPr>
        <w:pStyle w:val="a6"/>
        <w:widowControl/>
        <w:numPr>
          <w:ilvl w:val="0"/>
          <w:numId w:val="2"/>
        </w:numPr>
        <w:adjustRightInd w:val="0"/>
        <w:snapToGrid w:val="0"/>
        <w:spacing w:beforeAutospacing="0" w:afterAutospacing="0" w:line="360" w:lineRule="auto"/>
        <w:ind w:firstLineChars="200" w:firstLine="420"/>
        <w:jc w:val="both"/>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在职人员课程培训班报名登记表；</w:t>
      </w:r>
    </w:p>
    <w:p w14:paraId="556D6229" w14:textId="77777777" w:rsidR="00B95791" w:rsidRDefault="00000000">
      <w:pPr>
        <w:pStyle w:val="a6"/>
        <w:widowControl/>
        <w:adjustRightInd w:val="0"/>
        <w:snapToGrid w:val="0"/>
        <w:spacing w:beforeAutospacing="0" w:afterAutospacing="0" w:line="360" w:lineRule="auto"/>
        <w:ind w:leftChars="200" w:left="420"/>
        <w:jc w:val="both"/>
        <w:rPr>
          <w:sz w:val="21"/>
          <w:szCs w:val="21"/>
        </w:rPr>
      </w:pPr>
      <w:r>
        <w:rPr>
          <w:rFonts w:ascii="宋体" w:eastAsia="宋体" w:hAnsi="宋体" w:cs="宋体" w:hint="eastAsia"/>
          <w:color w:val="000000" w:themeColor="text1"/>
          <w:sz w:val="21"/>
          <w:szCs w:val="21"/>
          <w:shd w:val="clear" w:color="auto" w:fill="FFFFFF"/>
          <w:lang w:bidi="ar"/>
        </w:rPr>
        <w:t>2、</w:t>
      </w:r>
      <w:r>
        <w:rPr>
          <w:rFonts w:hint="eastAsia"/>
          <w:sz w:val="21"/>
          <w:szCs w:val="21"/>
        </w:rPr>
        <w:t>身份证复印件，正反面复印在一张纸上；</w:t>
      </w:r>
    </w:p>
    <w:p w14:paraId="605BA326" w14:textId="77777777" w:rsidR="00B95791" w:rsidRDefault="00000000">
      <w:pPr>
        <w:pStyle w:val="a6"/>
        <w:widowControl/>
        <w:adjustRightInd w:val="0"/>
        <w:snapToGrid w:val="0"/>
        <w:spacing w:beforeAutospacing="0" w:afterAutospacing="0" w:line="360" w:lineRule="auto"/>
        <w:ind w:firstLineChars="200" w:firstLine="420"/>
        <w:jc w:val="both"/>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3、本科毕业证书、学士学位证书原件及复印件；</w:t>
      </w:r>
    </w:p>
    <w:p w14:paraId="368EC3FE" w14:textId="77777777" w:rsidR="00B95791"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color w:val="000000" w:themeColor="text1"/>
          <w:shd w:val="clear" w:color="auto" w:fill="FFFFFF"/>
        </w:rPr>
      </w:pPr>
      <w:r>
        <w:rPr>
          <w:rFonts w:ascii="宋体" w:eastAsia="宋体" w:hAnsi="宋体" w:cs="宋体" w:hint="eastAsia"/>
          <w:color w:val="000000" w:themeColor="text1"/>
          <w:sz w:val="21"/>
          <w:szCs w:val="21"/>
          <w:shd w:val="clear" w:color="auto" w:fill="FFFFFF"/>
          <w:lang w:bidi="ar"/>
        </w:rPr>
        <w:t>4、蓝底电子照片1份。</w:t>
      </w:r>
    </w:p>
    <w:p w14:paraId="1E01C34A" w14:textId="77777777" w:rsidR="00B95791" w:rsidRDefault="00B95791">
      <w:pPr>
        <w:pStyle w:val="a6"/>
        <w:widowControl/>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p>
    <w:p w14:paraId="44ADA375" w14:textId="77777777" w:rsidR="00B95791"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收费标准：</w:t>
      </w:r>
    </w:p>
    <w:p w14:paraId="54649479" w14:textId="77777777" w:rsidR="00B95791" w:rsidRDefault="00000000">
      <w:pPr>
        <w:pStyle w:val="a6"/>
        <w:widowControl/>
        <w:adjustRightInd w:val="0"/>
        <w:snapToGrid w:val="0"/>
        <w:spacing w:beforeAutospacing="0" w:afterAutospacing="0" w:line="360" w:lineRule="auto"/>
        <w:ind w:firstLineChars="200" w:firstLine="420"/>
        <w:jc w:val="both"/>
        <w:rPr>
          <w:rFonts w:ascii="宋体" w:eastAsia="宋体" w:hAnsi="宋体" w:cs="宋体" w:hint="eastAsia"/>
          <w:sz w:val="21"/>
          <w:szCs w:val="21"/>
        </w:rPr>
      </w:pPr>
      <w:r>
        <w:rPr>
          <w:rFonts w:ascii="宋体" w:eastAsia="宋体" w:hAnsi="宋体" w:cs="宋体" w:hint="eastAsia"/>
          <w:sz w:val="21"/>
          <w:szCs w:val="21"/>
        </w:rPr>
        <w:t>1、</w:t>
      </w:r>
      <w:r>
        <w:rPr>
          <w:rFonts w:ascii="宋体" w:eastAsia="宋体" w:hAnsi="宋体" w:cs="宋体"/>
          <w:sz w:val="21"/>
          <w:szCs w:val="21"/>
        </w:rPr>
        <w:t>学费</w:t>
      </w:r>
      <w:r>
        <w:rPr>
          <w:rFonts w:ascii="宋体" w:eastAsia="宋体" w:hAnsi="宋体" w:cs="宋体" w:hint="eastAsia"/>
          <w:sz w:val="21"/>
          <w:szCs w:val="21"/>
        </w:rPr>
        <w:t>：</w:t>
      </w:r>
      <w:r>
        <w:rPr>
          <w:rFonts w:ascii="宋体" w:eastAsia="宋体" w:hAnsi="宋体" w:cs="宋体"/>
          <w:sz w:val="21"/>
          <w:szCs w:val="21"/>
        </w:rPr>
        <w:t>18000</w:t>
      </w:r>
      <w:r>
        <w:rPr>
          <w:rFonts w:ascii="宋体" w:eastAsia="宋体" w:hAnsi="宋体" w:cs="宋体" w:hint="eastAsia"/>
          <w:sz w:val="21"/>
          <w:szCs w:val="21"/>
        </w:rPr>
        <w:t>元</w:t>
      </w:r>
      <w:r>
        <w:rPr>
          <w:rFonts w:ascii="宋体" w:eastAsia="宋体" w:hAnsi="宋体" w:cs="宋体"/>
          <w:sz w:val="21"/>
          <w:szCs w:val="21"/>
        </w:rPr>
        <w:t>，</w:t>
      </w:r>
    </w:p>
    <w:p w14:paraId="31A0BF0C" w14:textId="77777777" w:rsidR="00B95791"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color w:val="000000" w:themeColor="text1"/>
          <w:sz w:val="21"/>
          <w:szCs w:val="21"/>
          <w:shd w:val="clear" w:color="auto" w:fill="FFFFFF"/>
        </w:rPr>
      </w:pPr>
      <w:r>
        <w:rPr>
          <w:rFonts w:ascii="宋体" w:eastAsia="宋体" w:hAnsi="宋体" w:cs="宋体" w:hint="eastAsia"/>
          <w:sz w:val="21"/>
          <w:szCs w:val="21"/>
        </w:rPr>
        <w:t>2、论文</w:t>
      </w:r>
      <w:r>
        <w:rPr>
          <w:rFonts w:ascii="宋体" w:eastAsia="宋体" w:hAnsi="宋体" w:cs="宋体"/>
          <w:sz w:val="21"/>
          <w:szCs w:val="21"/>
        </w:rPr>
        <w:t>答辩费</w:t>
      </w:r>
      <w:r>
        <w:rPr>
          <w:rFonts w:ascii="宋体" w:eastAsia="宋体" w:hAnsi="宋体" w:cs="宋体" w:hint="eastAsia"/>
          <w:sz w:val="21"/>
          <w:szCs w:val="21"/>
        </w:rPr>
        <w:t>：</w:t>
      </w:r>
      <w:r>
        <w:rPr>
          <w:rFonts w:ascii="宋体" w:eastAsia="宋体" w:hAnsi="宋体" w:cs="宋体"/>
          <w:sz w:val="21"/>
          <w:szCs w:val="21"/>
        </w:rPr>
        <w:t>9500</w:t>
      </w:r>
      <w:r>
        <w:rPr>
          <w:rFonts w:ascii="宋体" w:eastAsia="宋体" w:hAnsi="宋体" w:cs="宋体" w:hint="eastAsia"/>
          <w:sz w:val="21"/>
          <w:szCs w:val="21"/>
        </w:rPr>
        <w:t>元</w:t>
      </w:r>
    </w:p>
    <w:p w14:paraId="7ECE0812" w14:textId="77777777" w:rsidR="00B95791" w:rsidRDefault="00B95791">
      <w:pPr>
        <w:pStyle w:val="a6"/>
        <w:widowControl/>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p>
    <w:p w14:paraId="41189D24" w14:textId="77777777" w:rsidR="00B95791"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获取证书：</w:t>
      </w:r>
    </w:p>
    <w:p w14:paraId="685138A1" w14:textId="77777777" w:rsidR="00B95791" w:rsidRDefault="00000000">
      <w:pPr>
        <w:pStyle w:val="a6"/>
        <w:snapToGrid w:val="0"/>
        <w:spacing w:beforeAutospacing="0" w:afterAutospacing="0" w:line="360" w:lineRule="auto"/>
        <w:ind w:firstLineChars="200" w:firstLine="420"/>
        <w:contextualSpacing/>
        <w:rPr>
          <w:rFonts w:asciiTheme="minorEastAsia" w:hAnsiTheme="minorEastAsia" w:cstheme="minorEastAsia" w:hint="eastAsia"/>
          <w:sz w:val="21"/>
          <w:szCs w:val="21"/>
        </w:rPr>
      </w:pPr>
      <w:r>
        <w:rPr>
          <w:rFonts w:asciiTheme="minorEastAsia" w:hAnsiTheme="minorEastAsia" w:cstheme="minorEastAsia" w:hint="eastAsia"/>
          <w:sz w:val="21"/>
          <w:szCs w:val="21"/>
        </w:rPr>
        <w:t>1、学员按教学计划完成全部课程学习且考试合格者，颁发华东交通大学结业证书。</w:t>
      </w:r>
    </w:p>
    <w:p w14:paraId="29860868" w14:textId="240C1859" w:rsidR="00B95791" w:rsidRPr="00FD7F8C" w:rsidRDefault="00000000" w:rsidP="00FD7F8C">
      <w:pPr>
        <w:pStyle w:val="a6"/>
        <w:snapToGrid w:val="0"/>
        <w:spacing w:beforeAutospacing="0" w:afterAutospacing="0" w:line="360" w:lineRule="auto"/>
        <w:ind w:firstLineChars="200" w:firstLine="420"/>
        <w:contextualSpacing/>
        <w:rPr>
          <w:rFonts w:asciiTheme="minorEastAsia" w:hAnsiTheme="minorEastAsia" w:cstheme="minorEastAsia" w:hint="eastAsia"/>
          <w:sz w:val="21"/>
          <w:szCs w:val="21"/>
        </w:rPr>
      </w:pPr>
      <w:r>
        <w:rPr>
          <w:rFonts w:asciiTheme="minorEastAsia" w:hAnsiTheme="minorEastAsia" w:cstheme="minorEastAsia" w:hint="eastAsia"/>
          <w:sz w:val="21"/>
          <w:szCs w:val="21"/>
        </w:rPr>
        <w:t>2、具有学士学位的学员且完成专业全部课程学习，通过同等学力</w:t>
      </w:r>
      <w:proofErr w:type="gramStart"/>
      <w:r>
        <w:rPr>
          <w:rFonts w:asciiTheme="minorEastAsia" w:hAnsiTheme="minorEastAsia" w:cstheme="minorEastAsia" w:hint="eastAsia"/>
          <w:sz w:val="21"/>
          <w:szCs w:val="21"/>
        </w:rPr>
        <w:t>申硕全国</w:t>
      </w:r>
      <w:proofErr w:type="gramEnd"/>
      <w:r>
        <w:rPr>
          <w:rFonts w:asciiTheme="minorEastAsia" w:hAnsiTheme="minorEastAsia" w:cstheme="minorEastAsia" w:hint="eastAsia"/>
          <w:sz w:val="21"/>
          <w:szCs w:val="21"/>
        </w:rPr>
        <w:t xml:space="preserve">统一考试后，可申请进入硕士学位论文撰写阶段，通过同等学力水平认定，经我校学位委员会批准，授予颁发硕士学位证书。 </w:t>
      </w:r>
    </w:p>
    <w:sectPr w:rsidR="00B95791" w:rsidRPr="00FD7F8C">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5DCEE" w14:textId="77777777" w:rsidR="00CA47DD" w:rsidRDefault="00CA47DD">
      <w:r>
        <w:separator/>
      </w:r>
    </w:p>
  </w:endnote>
  <w:endnote w:type="continuationSeparator" w:id="0">
    <w:p w14:paraId="1295C52E" w14:textId="77777777" w:rsidR="00CA47DD" w:rsidRDefault="00CA4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4EA0F" w14:textId="77777777" w:rsidR="00CA47DD" w:rsidRDefault="00CA47DD">
      <w:r>
        <w:separator/>
      </w:r>
    </w:p>
  </w:footnote>
  <w:footnote w:type="continuationSeparator" w:id="0">
    <w:p w14:paraId="49F0064C" w14:textId="77777777" w:rsidR="00CA47DD" w:rsidRDefault="00CA47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D1933" w14:textId="77777777" w:rsidR="00B95791" w:rsidRDefault="00000000">
    <w:pPr>
      <w:pStyle w:val="a5"/>
    </w:pPr>
    <w:r>
      <w:rPr>
        <w:noProof/>
      </w:rPr>
      <w:drawing>
        <wp:anchor distT="0" distB="0" distL="114300" distR="114300" simplePos="0" relativeHeight="251659264" behindDoc="1" locked="0" layoutInCell="1" allowOverlap="1" wp14:anchorId="3CB18F26" wp14:editId="02CD6B51">
          <wp:simplePos x="0" y="0"/>
          <wp:positionH relativeFrom="margin">
            <wp:align>center</wp:align>
          </wp:positionH>
          <wp:positionV relativeFrom="margin">
            <wp:align>center</wp:align>
          </wp:positionV>
          <wp:extent cx="5274310" cy="5302250"/>
          <wp:effectExtent l="0" t="0" r="2540" b="12700"/>
          <wp:wrapNone/>
          <wp:docPr id="3" name="WordPictureWatermark13002" descr="华东交通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3002" descr="华东交通大学LOGO"/>
                  <pic:cNvPicPr>
                    <a:picLocks noChangeAspect="1"/>
                  </pic:cNvPicPr>
                </pic:nvPicPr>
                <pic:blipFill>
                  <a:blip r:embed="rId1">
                    <a:lum bright="69998" contrast="-70001"/>
                  </a:blip>
                  <a:stretch>
                    <a:fillRect/>
                  </a:stretch>
                </pic:blipFill>
                <pic:spPr>
                  <a:xfrm>
                    <a:off x="0" y="0"/>
                    <a:ext cx="5274310" cy="53022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EFA27"/>
    <w:multiLevelType w:val="singleLevel"/>
    <w:tmpl w:val="28EEFA27"/>
    <w:lvl w:ilvl="0">
      <w:start w:val="1"/>
      <w:numFmt w:val="chineseCounting"/>
      <w:suff w:val="nothing"/>
      <w:lvlText w:val="%1、"/>
      <w:lvlJc w:val="left"/>
      <w:rPr>
        <w:rFonts w:hint="eastAsia"/>
      </w:rPr>
    </w:lvl>
  </w:abstractNum>
  <w:abstractNum w:abstractNumId="1" w15:restartNumberingAfterBreak="0">
    <w:nsid w:val="7D471F8E"/>
    <w:multiLevelType w:val="singleLevel"/>
    <w:tmpl w:val="7D471F8E"/>
    <w:lvl w:ilvl="0">
      <w:start w:val="1"/>
      <w:numFmt w:val="decimal"/>
      <w:suff w:val="nothing"/>
      <w:lvlText w:val="%1、"/>
      <w:lvlJc w:val="left"/>
    </w:lvl>
  </w:abstractNum>
  <w:num w:numId="1" w16cid:durableId="679312740">
    <w:abstractNumId w:val="0"/>
  </w:num>
  <w:num w:numId="2" w16cid:durableId="5474944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GQ5ODQ5N2Q1NmI0ZDAwYTJiMTcyMmU3ZjhhMWE4NmEifQ=="/>
  </w:docVars>
  <w:rsids>
    <w:rsidRoot w:val="1A1B54BE"/>
    <w:rsid w:val="00B95791"/>
    <w:rsid w:val="00CA47DD"/>
    <w:rsid w:val="00D03821"/>
    <w:rsid w:val="00FD7F8C"/>
    <w:rsid w:val="070F49A2"/>
    <w:rsid w:val="07277E4A"/>
    <w:rsid w:val="103E38B5"/>
    <w:rsid w:val="11D56C2E"/>
    <w:rsid w:val="16321C77"/>
    <w:rsid w:val="1A1B54BE"/>
    <w:rsid w:val="1AE101ED"/>
    <w:rsid w:val="20F766A2"/>
    <w:rsid w:val="23971A56"/>
    <w:rsid w:val="2B914808"/>
    <w:rsid w:val="31C64CB7"/>
    <w:rsid w:val="362829E1"/>
    <w:rsid w:val="452F6966"/>
    <w:rsid w:val="4D2F582F"/>
    <w:rsid w:val="5093612C"/>
    <w:rsid w:val="51B05393"/>
    <w:rsid w:val="570F1328"/>
    <w:rsid w:val="571254EA"/>
    <w:rsid w:val="5D1F2257"/>
    <w:rsid w:val="630F7A14"/>
    <w:rsid w:val="74573252"/>
    <w:rsid w:val="7AAD278C"/>
    <w:rsid w:val="7B0E5F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D115A3"/>
  <w15:docId w15:val="{A334121F-AA9D-4291-90DA-FEA45C8C1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BodyTextIndent1"/>
    <w:autoRedefine/>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uiPriority w:val="9"/>
    <w:qFormat/>
    <w:pPr>
      <w:spacing w:line="600" w:lineRule="exact"/>
      <w:ind w:firstLineChars="200" w:firstLine="640"/>
      <w:outlineLvl w:val="2"/>
    </w:pPr>
    <w:rPr>
      <w:rFonts w:ascii="黑体" w:eastAsia="黑体" w:hAnsi="黑体"/>
      <w:color w:val="000000"/>
      <w:szCs w:val="32"/>
    </w:rPr>
  </w:style>
  <w:style w:type="paragraph" w:styleId="6">
    <w:name w:val="heading 6"/>
    <w:basedOn w:val="a"/>
    <w:next w:val="a"/>
    <w:qFormat/>
    <w:pPr>
      <w:spacing w:before="100" w:beforeAutospacing="1" w:after="100" w:afterAutospacing="1"/>
      <w:jc w:val="left"/>
      <w:outlineLvl w:val="5"/>
    </w:pPr>
    <w:rPr>
      <w:rFonts w:ascii="宋体" w:hAnsi="宋体"/>
      <w:b/>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Indent1">
    <w:name w:val="Body Text Indent1"/>
    <w:basedOn w:val="a"/>
    <w:autoRedefine/>
    <w:uiPriority w:val="99"/>
    <w:qFormat/>
    <w:pPr>
      <w:ind w:leftChars="200" w:left="420"/>
    </w:pPr>
  </w:style>
  <w:style w:type="paragraph" w:styleId="a3">
    <w:name w:val="Plain Text"/>
    <w:basedOn w:val="a"/>
    <w:uiPriority w:val="99"/>
    <w:unhideWhenUsed/>
    <w:qFormat/>
    <w:pPr>
      <w:spacing w:line="600" w:lineRule="exact"/>
      <w:ind w:firstLineChars="200" w:firstLine="560"/>
    </w:pPr>
    <w:rPr>
      <w:rFonts w:ascii="宋体" w:eastAsia="仿宋_GB2312" w:hAnsi="Courier New" w:cs="Courier New"/>
      <w:sz w:val="32"/>
      <w:szCs w:val="21"/>
    </w:rPr>
  </w:style>
  <w:style w:type="paragraph" w:styleId="a4">
    <w:name w:val="footer"/>
    <w:basedOn w:val="a"/>
    <w:autoRedefine/>
    <w:qFormat/>
    <w:pPr>
      <w:tabs>
        <w:tab w:val="center" w:pos="4153"/>
        <w:tab w:val="right" w:pos="8306"/>
      </w:tabs>
      <w:snapToGrid w:val="0"/>
      <w:jc w:val="left"/>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autoRedefine/>
    <w:qFormat/>
    <w:pPr>
      <w:spacing w:beforeAutospacing="1" w:afterAutospacing="1"/>
      <w:jc w:val="left"/>
    </w:pPr>
    <w:rPr>
      <w:rFonts w:cs="Times New Roman"/>
      <w:kern w:val="0"/>
      <w:sz w:val="24"/>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qFormat/>
    <w:rPr>
      <w:b/>
    </w:rPr>
  </w:style>
  <w:style w:type="character" w:styleId="a9">
    <w:name w:val="Hyperlink"/>
    <w:basedOn w:val="a0"/>
    <w:qFormat/>
    <w:rPr>
      <w:color w:val="0000FF"/>
      <w:u w:val="single"/>
    </w:rPr>
  </w:style>
  <w:style w:type="character" w:styleId="aa">
    <w:name w:val="annotation reference"/>
    <w:basedOn w:val="a0"/>
    <w:qFormat/>
    <w:rPr>
      <w:sz w:val="21"/>
      <w:szCs w:val="21"/>
    </w:rPr>
  </w:style>
  <w:style w:type="paragraph" w:customStyle="1" w:styleId="1">
    <w:name w:val="列出段落1"/>
    <w:basedOn w:val="a"/>
    <w:autoRedefine/>
    <w:qFormat/>
    <w:pPr>
      <w:ind w:firstLineChars="200" w:firstLine="420"/>
    </w:pPr>
    <w:rPr>
      <w:rFonts w:ascii="Calibri" w:eastAsia="宋体" w:hAnsi="Calibri" w:cs="Times New Roman"/>
    </w:rPr>
  </w:style>
  <w:style w:type="character" w:customStyle="1" w:styleId="font11">
    <w:name w:val="font11"/>
    <w:basedOn w:val="a0"/>
    <w:qFormat/>
    <w:rPr>
      <w:rFonts w:ascii="仿宋_GB2312" w:eastAsia="仿宋_GB2312" w:cs="仿宋_GB2312"/>
      <w:color w:val="FF0000"/>
      <w:sz w:val="21"/>
      <w:szCs w:val="21"/>
      <w:u w:val="none"/>
    </w:rPr>
  </w:style>
  <w:style w:type="character" w:customStyle="1" w:styleId="font21">
    <w:name w:val="font21"/>
    <w:basedOn w:val="a0"/>
    <w:autoRedefine/>
    <w:qFormat/>
    <w:rPr>
      <w:rFonts w:ascii="仿宋_GB2312" w:eastAsia="仿宋_GB2312" w:cs="仿宋_GB2312" w:hint="default"/>
      <w:color w:val="FF0000"/>
      <w:sz w:val="21"/>
      <w:szCs w:val="21"/>
      <w:u w:val="none"/>
    </w:rPr>
  </w:style>
  <w:style w:type="paragraph" w:styleId="ab">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255</Words>
  <Characters>1454</Characters>
  <Application>Microsoft Office Word</Application>
  <DocSecurity>0</DocSecurity>
  <Lines>12</Lines>
  <Paragraphs>3</Paragraphs>
  <ScaleCrop>false</ScaleCrop>
  <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YSL</dc:creator>
  <cp:lastModifiedBy>方源 杨</cp:lastModifiedBy>
  <cp:revision>2</cp:revision>
  <dcterms:created xsi:type="dcterms:W3CDTF">2026-01-29T06:52:00Z</dcterms:created>
  <dcterms:modified xsi:type="dcterms:W3CDTF">2026-01-15T13:16:00Z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EB1F3933B63D4D06AAC459329EB1D3DC_13</vt:lpwstr>
  </property>
</Properties>
</file>