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32E9" w14:textId="77777777" w:rsidR="001E4411" w:rsidRDefault="001E4411"/>
    <w:p w14:paraId="30D8E69E" w14:textId="77777777" w:rsidR="001E4411" w:rsidRDefault="00000000">
      <w:pPr>
        <w:jc w:val="center"/>
      </w:pPr>
      <w:r>
        <w:rPr>
          <w:noProof/>
        </w:rPr>
        <w:drawing>
          <wp:inline distT="0" distB="0" distL="114300" distR="114300" wp14:anchorId="4D8E66D7" wp14:editId="6B0C2BEE">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C140A4D" w14:textId="77777777" w:rsidR="001E4411" w:rsidRDefault="00000000">
      <w:pPr>
        <w:jc w:val="center"/>
        <w:rPr>
          <w:rFonts w:ascii="宋体" w:eastAsia="宋体" w:hAnsi="宋体" w:cs="宋体" w:hint="eastAsia"/>
          <w:b/>
          <w:bCs/>
          <w:color w:val="000000" w:themeColor="text1"/>
          <w:sz w:val="36"/>
          <w:szCs w:val="36"/>
        </w:rPr>
      </w:pPr>
      <w:r>
        <w:rPr>
          <w:rFonts w:ascii="宋体" w:eastAsia="宋体" w:hAnsi="宋体" w:cs="宋体" w:hint="eastAsia"/>
          <w:b/>
          <w:bCs/>
          <w:color w:val="000000" w:themeColor="text1"/>
          <w:sz w:val="36"/>
          <w:szCs w:val="36"/>
        </w:rPr>
        <w:t>华东交通大学化学专业同等学力人员申请硕士学位</w:t>
      </w:r>
    </w:p>
    <w:p w14:paraId="77DBE9B6" w14:textId="77777777" w:rsidR="001E4411" w:rsidRDefault="00000000">
      <w:pPr>
        <w:jc w:val="center"/>
        <w:rPr>
          <w:rFonts w:ascii="宋体" w:eastAsia="宋体" w:hAnsi="宋体" w:cs="宋体" w:hint="eastAsia"/>
          <w:b/>
          <w:bCs/>
          <w:color w:val="000000" w:themeColor="text1"/>
          <w:sz w:val="36"/>
          <w:szCs w:val="36"/>
        </w:rPr>
      </w:pPr>
      <w:r>
        <w:rPr>
          <w:rFonts w:ascii="宋体" w:eastAsia="宋体" w:hAnsi="宋体" w:cs="宋体" w:hint="eastAsia"/>
          <w:b/>
          <w:bCs/>
          <w:color w:val="000000" w:themeColor="text1"/>
          <w:sz w:val="36"/>
          <w:szCs w:val="36"/>
        </w:rPr>
        <w:t>招生简章</w:t>
      </w:r>
    </w:p>
    <w:p w14:paraId="4AA1DEBB" w14:textId="77777777" w:rsidR="001E4411" w:rsidRDefault="001E4411">
      <w:pPr>
        <w:adjustRightInd w:val="0"/>
        <w:snapToGrid w:val="0"/>
        <w:spacing w:line="360" w:lineRule="auto"/>
        <w:rPr>
          <w:rFonts w:ascii="宋体" w:eastAsia="宋体" w:hAnsi="宋体" w:cs="宋体" w:hint="eastAsia"/>
          <w:color w:val="000000" w:themeColor="text1"/>
          <w:sz w:val="24"/>
        </w:rPr>
      </w:pPr>
    </w:p>
    <w:p w14:paraId="3EEA9043"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47AD3C7F"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5BF6AC07"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华东交通大学材料科学与工程学院是华东交通大学下属的一级学院，2016年5月，</w:t>
      </w:r>
      <w:hyperlink r:id="rId8" w:tgtFrame="https://upimg.baike.so.com/doc/_blank" w:history="1">
        <w:r>
          <w:rPr>
            <w:rStyle w:val="a7"/>
            <w:rFonts w:ascii="宋体" w:eastAsia="宋体" w:hAnsi="宋体" w:cs="宋体"/>
            <w:b w:val="0"/>
            <w:bCs/>
            <w:color w:val="000000" w:themeColor="text1"/>
            <w:sz w:val="21"/>
            <w:szCs w:val="21"/>
            <w:shd w:val="clear" w:color="auto" w:fill="FFFFFF"/>
          </w:rPr>
          <w:t>华东交通大学</w:t>
        </w:r>
      </w:hyperlink>
      <w:r>
        <w:rPr>
          <w:rStyle w:val="a7"/>
          <w:rFonts w:ascii="宋体" w:eastAsia="宋体" w:hAnsi="宋体" w:cs="宋体"/>
          <w:b w:val="0"/>
          <w:bCs/>
          <w:color w:val="000000" w:themeColor="text1"/>
          <w:sz w:val="21"/>
          <w:szCs w:val="21"/>
          <w:shd w:val="clear" w:color="auto" w:fill="FFFFFF"/>
        </w:rPr>
        <w:t>通过整合理、机电两个学院和生物材料研究所学科专业资源，新成立</w:t>
      </w:r>
      <w:r>
        <w:rPr>
          <w:rStyle w:val="a7"/>
          <w:rFonts w:ascii="宋体" w:eastAsia="宋体" w:hAnsi="宋体" w:cs="宋体" w:hint="eastAsia"/>
          <w:b w:val="0"/>
          <w:bCs/>
          <w:color w:val="000000" w:themeColor="text1"/>
          <w:sz w:val="21"/>
          <w:szCs w:val="21"/>
          <w:shd w:val="clear" w:color="auto" w:fill="FFFFFF"/>
        </w:rPr>
        <w:t>“</w:t>
      </w:r>
      <w:r>
        <w:rPr>
          <w:rStyle w:val="a7"/>
          <w:rFonts w:ascii="宋体" w:eastAsia="宋体" w:hAnsi="宋体" w:cs="宋体"/>
          <w:b w:val="0"/>
          <w:bCs/>
          <w:color w:val="000000" w:themeColor="text1"/>
          <w:sz w:val="21"/>
          <w:szCs w:val="21"/>
          <w:shd w:val="clear" w:color="auto" w:fill="FFFFFF"/>
        </w:rPr>
        <w:t>材料科学与工程学院</w:t>
      </w:r>
      <w:r>
        <w:rPr>
          <w:rStyle w:val="a7"/>
          <w:rFonts w:ascii="宋体" w:eastAsia="宋体" w:hAnsi="宋体" w:cs="宋体" w:hint="eastAsia"/>
          <w:b w:val="0"/>
          <w:bCs/>
          <w:color w:val="000000" w:themeColor="text1"/>
          <w:sz w:val="21"/>
          <w:szCs w:val="21"/>
          <w:shd w:val="clear" w:color="auto" w:fill="FFFFFF"/>
        </w:rPr>
        <w:t>”。学院下设2个系、2个江西省一流本科专业、1个实验教学中心、1个省级工程技术研究中心。学院现有交通运输工程一级学科博士点，材料科学与工程、化学、交通运输工程三个一级学科硕士点，材料与化工、交通运输两个专业硕士点。学院拥有国务院政府特殊津贴专家、江西省创新驱动“5511”工程科技创新人才、江西省“赣</w:t>
      </w:r>
      <w:proofErr w:type="gramStart"/>
      <w:r>
        <w:rPr>
          <w:rStyle w:val="a7"/>
          <w:rFonts w:ascii="宋体" w:eastAsia="宋体" w:hAnsi="宋体" w:cs="宋体" w:hint="eastAsia"/>
          <w:b w:val="0"/>
          <w:bCs/>
          <w:color w:val="000000" w:themeColor="text1"/>
          <w:sz w:val="21"/>
          <w:szCs w:val="21"/>
          <w:shd w:val="clear" w:color="auto" w:fill="FFFFFF"/>
        </w:rPr>
        <w:t>鄱</w:t>
      </w:r>
      <w:proofErr w:type="gramEnd"/>
      <w:r>
        <w:rPr>
          <w:rStyle w:val="a7"/>
          <w:rFonts w:ascii="宋体" w:eastAsia="宋体" w:hAnsi="宋体" w:cs="宋体" w:hint="eastAsia"/>
          <w:b w:val="0"/>
          <w:bCs/>
          <w:color w:val="000000" w:themeColor="text1"/>
          <w:sz w:val="21"/>
          <w:szCs w:val="21"/>
          <w:shd w:val="clear" w:color="auto" w:fill="FFFFFF"/>
        </w:rPr>
        <w:t>英才555工程”领军人才、江西省教学名师、江西省主要学科学术和技术带头人、江西省“百千万人才工程”人选、江西省“井冈学者”等一批严谨治学、学术造诣较高的优秀教师。</w:t>
      </w:r>
    </w:p>
    <w:p w14:paraId="213264DB"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化学专业主要针对物质的组成、结构、性能、相互作用和转化等问题，应用新型实验技术和化学理论致力于从分子层次理解化学转化的机理，与材料科学、环境科学、能源科学和信息科学等有密切联系。目前的主要研究方向为：功能有机化学、功能高分子材料、能源与环境化学、生物化学及材料、电分析化学等，覆盖了有机化学、物理化学、分析化学、高分子化学、生物化学等领域从基础研究到高技术发展的不同层次，在学术上属学科前沿。</w:t>
      </w:r>
    </w:p>
    <w:p w14:paraId="2553F702" w14:textId="7E5C6FC6"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华东交通大学材料科学与工程学院面向社会开设化学专业同等学力人员申请硕士学位课程班，用以培养更多的化学专业人才。</w:t>
      </w:r>
    </w:p>
    <w:p w14:paraId="2137CC37"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4A20E34"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0807D1E3"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本专业培养具有坚实的基础理论、系统的专门知识和现代实验方法及技能，具备良好的批判思维和创新能力，并具有较好的外语水平，能从事科学研究工作或者独立承担专门技术或管理工作，具备进一步在学术领域深造的知识结构和学术能力，能够从事化学科学研究和教学的高级技术人才。</w:t>
      </w:r>
    </w:p>
    <w:p w14:paraId="2F0BA1A5"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C4508E9"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1E4411" w14:paraId="07C8F377" w14:textId="77777777">
        <w:trPr>
          <w:trHeight w:val="454"/>
        </w:trPr>
        <w:tc>
          <w:tcPr>
            <w:tcW w:w="8522" w:type="dxa"/>
            <w:gridSpan w:val="3"/>
          </w:tcPr>
          <w:p w14:paraId="2F73C7E9" w14:textId="77777777" w:rsidR="001E4411"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化学专业课程设置</w:t>
            </w:r>
          </w:p>
        </w:tc>
      </w:tr>
      <w:tr w:rsidR="001E4411" w14:paraId="7F3A32ED" w14:textId="77777777">
        <w:trPr>
          <w:trHeight w:val="454"/>
        </w:trPr>
        <w:tc>
          <w:tcPr>
            <w:tcW w:w="1591" w:type="dxa"/>
            <w:vMerge w:val="restart"/>
            <w:vAlign w:val="center"/>
          </w:tcPr>
          <w:p w14:paraId="4330CA16"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41C58E20" w14:textId="77777777" w:rsidR="001E4411"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52EA3D30"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1E4411" w14:paraId="46F548E4" w14:textId="77777777">
        <w:trPr>
          <w:trHeight w:val="454"/>
        </w:trPr>
        <w:tc>
          <w:tcPr>
            <w:tcW w:w="1591" w:type="dxa"/>
            <w:vMerge/>
          </w:tcPr>
          <w:p w14:paraId="76C09BCA"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56259196"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7A4F1569"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1E4411" w14:paraId="1ED07B7A" w14:textId="77777777">
        <w:trPr>
          <w:trHeight w:val="454"/>
        </w:trPr>
        <w:tc>
          <w:tcPr>
            <w:tcW w:w="1591" w:type="dxa"/>
            <w:vMerge w:val="restart"/>
          </w:tcPr>
          <w:p w14:paraId="4AFA3476" w14:textId="77777777" w:rsidR="001E4411" w:rsidRDefault="001E4411">
            <w:pPr>
              <w:spacing w:line="360" w:lineRule="auto"/>
              <w:contextualSpacing/>
              <w:jc w:val="center"/>
              <w:rPr>
                <w:rFonts w:asciiTheme="minorEastAsia" w:hAnsiTheme="minorEastAsia" w:cstheme="minorEastAsia" w:hint="eastAsia"/>
                <w:szCs w:val="21"/>
              </w:rPr>
            </w:pPr>
          </w:p>
          <w:p w14:paraId="7BBB6057" w14:textId="77777777" w:rsidR="001E4411" w:rsidRDefault="001E4411">
            <w:pPr>
              <w:spacing w:line="360" w:lineRule="auto"/>
              <w:contextualSpacing/>
              <w:jc w:val="center"/>
              <w:rPr>
                <w:rFonts w:asciiTheme="minorEastAsia" w:hAnsiTheme="minorEastAsia" w:cstheme="minorEastAsia" w:hint="eastAsia"/>
                <w:szCs w:val="21"/>
              </w:rPr>
            </w:pPr>
          </w:p>
          <w:p w14:paraId="5E6BE2C3"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6BE7481A"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材料化学</w:t>
            </w:r>
          </w:p>
        </w:tc>
        <w:tc>
          <w:tcPr>
            <w:tcW w:w="3311" w:type="dxa"/>
          </w:tcPr>
          <w:p w14:paraId="22C5F18D"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高等有机化学</w:t>
            </w:r>
          </w:p>
        </w:tc>
      </w:tr>
      <w:tr w:rsidR="001E4411" w14:paraId="5FC47DC4" w14:textId="77777777">
        <w:trPr>
          <w:trHeight w:val="454"/>
        </w:trPr>
        <w:tc>
          <w:tcPr>
            <w:tcW w:w="1591" w:type="dxa"/>
            <w:vMerge/>
          </w:tcPr>
          <w:p w14:paraId="3F1DB536"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71BDB3CD"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现代仪器分析</w:t>
            </w:r>
          </w:p>
        </w:tc>
        <w:tc>
          <w:tcPr>
            <w:tcW w:w="3311" w:type="dxa"/>
          </w:tcPr>
          <w:p w14:paraId="15A7C1DA"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聚合物结构与性能</w:t>
            </w:r>
          </w:p>
        </w:tc>
      </w:tr>
      <w:tr w:rsidR="001E4411" w14:paraId="02970875" w14:textId="77777777">
        <w:trPr>
          <w:trHeight w:val="454"/>
        </w:trPr>
        <w:tc>
          <w:tcPr>
            <w:tcW w:w="1591" w:type="dxa"/>
            <w:vMerge/>
          </w:tcPr>
          <w:p w14:paraId="1019C38A"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476F37DC"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szCs w:val="21"/>
              </w:rPr>
              <w:t>现代分析化学</w:t>
            </w:r>
          </w:p>
        </w:tc>
        <w:tc>
          <w:tcPr>
            <w:tcW w:w="3311" w:type="dxa"/>
          </w:tcPr>
          <w:p w14:paraId="10BECBA4"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化学前沿专题</w:t>
            </w:r>
          </w:p>
        </w:tc>
      </w:tr>
      <w:tr w:rsidR="001E4411" w14:paraId="715D464E" w14:textId="77777777">
        <w:trPr>
          <w:trHeight w:val="454"/>
        </w:trPr>
        <w:tc>
          <w:tcPr>
            <w:tcW w:w="1591" w:type="dxa"/>
            <w:vMerge/>
          </w:tcPr>
          <w:p w14:paraId="772C149E"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711FE05E"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聚合物改性</w:t>
            </w:r>
          </w:p>
        </w:tc>
        <w:tc>
          <w:tcPr>
            <w:tcW w:w="3311" w:type="dxa"/>
          </w:tcPr>
          <w:p w14:paraId="6EEF675D"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科技写作</w:t>
            </w:r>
          </w:p>
        </w:tc>
      </w:tr>
      <w:tr w:rsidR="001E4411" w14:paraId="1F71EA80" w14:textId="77777777">
        <w:trPr>
          <w:trHeight w:val="454"/>
        </w:trPr>
        <w:tc>
          <w:tcPr>
            <w:tcW w:w="1591" w:type="dxa"/>
            <w:vMerge/>
          </w:tcPr>
          <w:p w14:paraId="225F115A"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34297CA4"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表面分析技术</w:t>
            </w:r>
          </w:p>
        </w:tc>
        <w:tc>
          <w:tcPr>
            <w:tcW w:w="3311" w:type="dxa"/>
          </w:tcPr>
          <w:p w14:paraId="369F7C57"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现代分离方法</w:t>
            </w:r>
          </w:p>
        </w:tc>
      </w:tr>
      <w:tr w:rsidR="001E4411" w14:paraId="457B0249" w14:textId="77777777">
        <w:trPr>
          <w:trHeight w:val="454"/>
        </w:trPr>
        <w:tc>
          <w:tcPr>
            <w:tcW w:w="1591" w:type="dxa"/>
            <w:vMerge/>
          </w:tcPr>
          <w:p w14:paraId="703E029E" w14:textId="77777777" w:rsidR="001E4411" w:rsidRDefault="001E4411">
            <w:pPr>
              <w:spacing w:line="360" w:lineRule="auto"/>
              <w:contextualSpacing/>
              <w:jc w:val="center"/>
              <w:rPr>
                <w:rFonts w:asciiTheme="minorEastAsia" w:hAnsiTheme="minorEastAsia" w:cstheme="minorEastAsia" w:hint="eastAsia"/>
                <w:szCs w:val="21"/>
              </w:rPr>
            </w:pPr>
          </w:p>
        </w:tc>
        <w:tc>
          <w:tcPr>
            <w:tcW w:w="3620" w:type="dxa"/>
          </w:tcPr>
          <w:p w14:paraId="15F76A9A"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c>
          <w:tcPr>
            <w:tcW w:w="3311" w:type="dxa"/>
          </w:tcPr>
          <w:p w14:paraId="4FC14B85" w14:textId="77777777" w:rsidR="001E44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材料腐蚀与防护</w:t>
            </w:r>
          </w:p>
        </w:tc>
      </w:tr>
    </w:tbl>
    <w:p w14:paraId="1B13839D"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6ACD063" w14:textId="77777777" w:rsidR="001E4411"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3EC34234"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3CF8F5E"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2CBBF81E" w14:textId="77777777" w:rsidR="001E441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422A711D" w14:textId="77777777" w:rsidR="001E441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714233AF"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3C5ABBA"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2159A875" w14:textId="77777777" w:rsidR="001E44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07A05897" w14:textId="77777777" w:rsidR="001E44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2D73424B" w14:textId="77777777" w:rsidR="001E44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39C2FBE2" w14:textId="77777777" w:rsidR="001E44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0845CF44"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92D2616"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541B17A5" w14:textId="77777777" w:rsidR="001E4411"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2E67064F" w14:textId="77777777" w:rsidR="001E4411"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lastRenderedPageBreak/>
        <w:t>2、</w:t>
      </w:r>
      <w:r>
        <w:rPr>
          <w:rFonts w:hint="eastAsia"/>
          <w:sz w:val="21"/>
          <w:szCs w:val="21"/>
        </w:rPr>
        <w:t>身份证复印件，正反面复印在一张纸上；</w:t>
      </w:r>
    </w:p>
    <w:p w14:paraId="4169D7B8" w14:textId="77777777" w:rsidR="001E441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14859194"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632E852C"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AB7E1D9"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4B5FF4C8" w14:textId="77777777" w:rsidR="001E441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3B3E8A47" w14:textId="77777777" w:rsidR="001E44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94B95AA" w14:textId="77777777" w:rsidR="001E4411" w:rsidRDefault="001E44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3B98CBA" w14:textId="77777777" w:rsidR="001E44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5058799C" w14:textId="77777777" w:rsidR="001E441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0CC71C1E" w14:textId="3B39044D" w:rsidR="001E4411" w:rsidRPr="00A81B9B" w:rsidRDefault="00000000" w:rsidP="00A81B9B">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sectPr w:rsidR="001E4411" w:rsidRPr="00A81B9B">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3066" w14:textId="77777777" w:rsidR="00A21C37" w:rsidRDefault="00A21C37">
      <w:r>
        <w:separator/>
      </w:r>
    </w:p>
  </w:endnote>
  <w:endnote w:type="continuationSeparator" w:id="0">
    <w:p w14:paraId="0AC5702C" w14:textId="77777777" w:rsidR="00A21C37" w:rsidRDefault="00A2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444F" w14:textId="77777777" w:rsidR="00A21C37" w:rsidRDefault="00A21C37">
      <w:r>
        <w:separator/>
      </w:r>
    </w:p>
  </w:footnote>
  <w:footnote w:type="continuationSeparator" w:id="0">
    <w:p w14:paraId="2D559DD6" w14:textId="77777777" w:rsidR="00A21C37" w:rsidRDefault="00A21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87AC" w14:textId="77777777" w:rsidR="001E4411" w:rsidRDefault="00000000">
    <w:pPr>
      <w:pStyle w:val="a4"/>
    </w:pPr>
    <w:r>
      <w:rPr>
        <w:noProof/>
      </w:rPr>
      <w:drawing>
        <wp:anchor distT="0" distB="0" distL="114300" distR="114300" simplePos="0" relativeHeight="251659264" behindDoc="1" locked="0" layoutInCell="1" allowOverlap="1" wp14:anchorId="1877B286" wp14:editId="4308850A">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557278855">
    <w:abstractNumId w:val="0"/>
  </w:num>
  <w:num w:numId="2" w16cid:durableId="380129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1E4411"/>
    <w:rsid w:val="007522BA"/>
    <w:rsid w:val="00A21C37"/>
    <w:rsid w:val="00A81B9B"/>
    <w:rsid w:val="078F739C"/>
    <w:rsid w:val="1A1B54BE"/>
    <w:rsid w:val="1AE101ED"/>
    <w:rsid w:val="23971A56"/>
    <w:rsid w:val="31C64CB7"/>
    <w:rsid w:val="362829E1"/>
    <w:rsid w:val="452F6966"/>
    <w:rsid w:val="5093612C"/>
    <w:rsid w:val="570F1328"/>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5F2BA"/>
  <w15:docId w15:val="{954454D7-9028-4767-9ECF-0B51D056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autoRedefine/>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pimg.baike.so.com/doc/2918715-3079964.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A4E8FEF5817742F1B695A7763B3C40E3_13</vt:lpwstr>
  </property>
</Properties>
</file>