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EE38B" w14:textId="77777777" w:rsidR="00D15DC1" w:rsidRDefault="00D15DC1"/>
    <w:p w14:paraId="190C0A10" w14:textId="77777777" w:rsidR="00D15DC1" w:rsidRDefault="00000000">
      <w:pPr>
        <w:jc w:val="center"/>
      </w:pPr>
      <w:r>
        <w:rPr>
          <w:noProof/>
        </w:rPr>
        <w:drawing>
          <wp:inline distT="0" distB="0" distL="114300" distR="114300" wp14:anchorId="3911FD17" wp14:editId="022722EB">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7DEAD4FD" w14:textId="77777777" w:rsidR="00D15DC1" w:rsidRDefault="00000000">
      <w:pPr>
        <w:jc w:val="center"/>
        <w:rPr>
          <w:rFonts w:ascii="宋体" w:eastAsia="宋体" w:hAnsi="宋体" w:cs="宋体" w:hint="eastAsia"/>
          <w:b/>
          <w:bCs/>
          <w:color w:val="000000" w:themeColor="text1"/>
          <w:sz w:val="30"/>
          <w:szCs w:val="30"/>
        </w:rPr>
      </w:pPr>
      <w:r>
        <w:rPr>
          <w:rFonts w:ascii="宋体" w:eastAsia="宋体" w:hAnsi="宋体" w:cs="宋体" w:hint="eastAsia"/>
          <w:b/>
          <w:bCs/>
          <w:color w:val="000000" w:themeColor="text1"/>
          <w:sz w:val="30"/>
          <w:szCs w:val="30"/>
        </w:rPr>
        <w:t>华东交通大学交通运输规划与管理专业同等学力人员申请硕士学位招生简章</w:t>
      </w:r>
    </w:p>
    <w:p w14:paraId="34F9D6B3" w14:textId="77777777" w:rsidR="00D15DC1" w:rsidRDefault="00D15DC1">
      <w:pPr>
        <w:adjustRightInd w:val="0"/>
        <w:snapToGrid w:val="0"/>
        <w:spacing w:line="360" w:lineRule="auto"/>
        <w:rPr>
          <w:rFonts w:ascii="宋体" w:eastAsia="宋体" w:hAnsi="宋体" w:cs="宋体" w:hint="eastAsia"/>
          <w:color w:val="000000" w:themeColor="text1"/>
          <w:sz w:val="24"/>
        </w:rPr>
      </w:pPr>
    </w:p>
    <w:p w14:paraId="6FAE58BB" w14:textId="77777777" w:rsidR="00D15DC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0E8EF79F" w14:textId="77777777" w:rsidR="00D15DC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1DBE41A4" w14:textId="77777777" w:rsidR="00D15DC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交通运输工程学院拥有1个一级学科（交通运输工程）学术型博士学位点及博士后流动站，1个一级学科（管理科学与工程）学术型硕士学位点和2个二级学科（道路与铁道工程、交通运输规划与管理）学术型硕士学位点；4个专业型硕士学位点（交通运输、工业工程与管理、物流工程与管理、测绘工程）。学院为了凸显“交通特色，轨道核心”办学特色定位，强化交通特色学科体系，推进交通运输工程学</w:t>
      </w:r>
      <w:proofErr w:type="gramStart"/>
      <w:r>
        <w:rPr>
          <w:rStyle w:val="a7"/>
          <w:rFonts w:ascii="宋体" w:eastAsia="宋体" w:hAnsi="宋体" w:cs="宋体" w:hint="eastAsia"/>
          <w:b w:val="0"/>
          <w:bCs/>
          <w:color w:val="000000" w:themeColor="text1"/>
          <w:sz w:val="21"/>
          <w:szCs w:val="21"/>
          <w:shd w:val="clear" w:color="auto" w:fill="FFFFFF"/>
        </w:rPr>
        <w:t>科人才</w:t>
      </w:r>
      <w:proofErr w:type="gramEnd"/>
      <w:r>
        <w:rPr>
          <w:rStyle w:val="a7"/>
          <w:rFonts w:ascii="宋体" w:eastAsia="宋体" w:hAnsi="宋体" w:cs="宋体" w:hint="eastAsia"/>
          <w:b w:val="0"/>
          <w:bCs/>
          <w:color w:val="000000" w:themeColor="text1"/>
          <w:sz w:val="21"/>
          <w:szCs w:val="21"/>
          <w:shd w:val="clear" w:color="auto" w:fill="FFFFFF"/>
        </w:rPr>
        <w:t>培养、科学研究和队伍建设，发挥交通运输工程学科的辐射引领作用，促进学科交叉融合，对部分学科、专业进行调整组建交通运输工程学院，简称“交通学院”。</w:t>
      </w:r>
    </w:p>
    <w:p w14:paraId="26E8F0DE" w14:textId="77777777" w:rsidR="00D15DC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交通运输规划与管理是一门多学科交叉的学科，主要研究交通规律、交通运输系统规划决策与管理的理论与方法。本学科是我校“交通运输工程”一级学科下的二级学科，2006年获得“交通运输工程”一级学科硕士学位授予权，2012年批准为博士点授权学科。本学科的特色是：以现代优化理论为基础，计算机技术为基本工具，以优化资源配置和提高经济效益为目标，采用定性分析和定量分析相结合的方法，研究铁路运输、轨道交通和道路交通的规划、管理、控制和优化方面的问题，其研究领域涉及运筹学、复杂系统建模、算法设计等。</w:t>
      </w:r>
    </w:p>
    <w:p w14:paraId="516D48A4" w14:textId="2F1923CB" w:rsidR="00D15DC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华东交通大学交通运输工程学院面向社会开设交通运输规划与管理专业同等学力人员申请硕士学位课程班，用以培养更多的高级专业人才。</w:t>
      </w:r>
    </w:p>
    <w:p w14:paraId="6888AD2B" w14:textId="77777777" w:rsidR="00D15DC1" w:rsidRDefault="00D15DC1">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p>
    <w:p w14:paraId="5E68328C" w14:textId="77777777" w:rsidR="00D15DC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培养目标：</w:t>
      </w:r>
    </w:p>
    <w:p w14:paraId="5E67FC39" w14:textId="77777777" w:rsidR="00D15DC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lang w:eastAsia="zh-TW" w:bidi="ar"/>
        </w:rPr>
      </w:pPr>
      <w:r>
        <w:rPr>
          <w:rStyle w:val="a7"/>
          <w:rFonts w:ascii="宋体" w:eastAsia="宋体" w:hAnsi="宋体" w:cs="宋体" w:hint="eastAsia"/>
          <w:b w:val="0"/>
          <w:bCs/>
          <w:color w:val="000000" w:themeColor="text1"/>
          <w:sz w:val="21"/>
          <w:szCs w:val="21"/>
          <w:shd w:val="clear" w:color="auto" w:fill="FFFFFF"/>
          <w:lang w:eastAsia="zh-TW" w:bidi="ar"/>
        </w:rPr>
        <w:t>本</w:t>
      </w:r>
      <w:r>
        <w:rPr>
          <w:rStyle w:val="a7"/>
          <w:rFonts w:ascii="宋体" w:eastAsia="宋体" w:hAnsi="宋体" w:cs="宋体" w:hint="eastAsia"/>
          <w:b w:val="0"/>
          <w:bCs/>
          <w:color w:val="000000" w:themeColor="text1"/>
          <w:sz w:val="21"/>
          <w:szCs w:val="21"/>
          <w:shd w:val="clear" w:color="auto" w:fill="FFFFFF"/>
          <w:lang w:bidi="ar"/>
        </w:rPr>
        <w:t>专业</w:t>
      </w:r>
      <w:r>
        <w:rPr>
          <w:rStyle w:val="a7"/>
          <w:rFonts w:ascii="宋体" w:eastAsia="宋体" w:hAnsi="宋体" w:cs="宋体" w:hint="eastAsia"/>
          <w:b w:val="0"/>
          <w:bCs/>
          <w:color w:val="000000" w:themeColor="text1"/>
          <w:sz w:val="21"/>
          <w:szCs w:val="21"/>
          <w:shd w:val="clear" w:color="auto" w:fill="FFFFFF"/>
          <w:lang w:eastAsia="zh-TW" w:bidi="ar"/>
        </w:rPr>
        <w:t>培养适应交通运输现代化建设和发展需要，具有坚实广博的基础理论、系统的专业知识、严密的逻辑思维能力，拥有较强的分析问题和解决问题的能力，具有较强创新意识和创造能力，综合素质强的，交通运输规划与管理及其相关领域高层次的生产组织、运营管理、规划设计、科学研究的高层次交通运输规划与管理人才。</w:t>
      </w:r>
    </w:p>
    <w:p w14:paraId="56440EF7" w14:textId="77777777" w:rsidR="00D15DC1" w:rsidRDefault="00D15DC1">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p>
    <w:p w14:paraId="0BFF0807" w14:textId="77777777" w:rsidR="00D15DC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D15DC1" w14:paraId="27D980A9" w14:textId="77777777">
        <w:trPr>
          <w:trHeight w:val="454"/>
        </w:trPr>
        <w:tc>
          <w:tcPr>
            <w:tcW w:w="8522" w:type="dxa"/>
            <w:gridSpan w:val="3"/>
          </w:tcPr>
          <w:p w14:paraId="51E3B667" w14:textId="77777777" w:rsidR="00D15DC1"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交通运输规划与管理专业课程设置</w:t>
            </w:r>
          </w:p>
        </w:tc>
      </w:tr>
      <w:tr w:rsidR="00D15DC1" w14:paraId="219A5BBF" w14:textId="77777777">
        <w:trPr>
          <w:trHeight w:val="454"/>
        </w:trPr>
        <w:tc>
          <w:tcPr>
            <w:tcW w:w="1591" w:type="dxa"/>
            <w:vMerge w:val="restart"/>
            <w:vAlign w:val="center"/>
          </w:tcPr>
          <w:p w14:paraId="5E2994CE"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7C3E92A0" w14:textId="77777777" w:rsidR="00D15DC1"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078C04A1"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D15DC1" w14:paraId="1A7B89C5" w14:textId="77777777">
        <w:trPr>
          <w:trHeight w:val="454"/>
        </w:trPr>
        <w:tc>
          <w:tcPr>
            <w:tcW w:w="1591" w:type="dxa"/>
            <w:vMerge/>
          </w:tcPr>
          <w:p w14:paraId="39BE7E43" w14:textId="77777777" w:rsidR="00D15DC1" w:rsidRDefault="00D15DC1">
            <w:pPr>
              <w:spacing w:line="360" w:lineRule="auto"/>
              <w:contextualSpacing/>
              <w:jc w:val="center"/>
              <w:rPr>
                <w:rFonts w:asciiTheme="minorEastAsia" w:hAnsiTheme="minorEastAsia" w:cstheme="minorEastAsia" w:hint="eastAsia"/>
                <w:szCs w:val="21"/>
              </w:rPr>
            </w:pPr>
          </w:p>
        </w:tc>
        <w:tc>
          <w:tcPr>
            <w:tcW w:w="3620" w:type="dxa"/>
          </w:tcPr>
          <w:p w14:paraId="5BFE9BF1"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51B150F4"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D15DC1" w14:paraId="4FD60DC4" w14:textId="77777777">
        <w:trPr>
          <w:trHeight w:val="454"/>
        </w:trPr>
        <w:tc>
          <w:tcPr>
            <w:tcW w:w="1591" w:type="dxa"/>
            <w:vMerge w:val="restart"/>
          </w:tcPr>
          <w:p w14:paraId="1060F7FA" w14:textId="77777777" w:rsidR="00D15DC1" w:rsidRDefault="00D15DC1">
            <w:pPr>
              <w:spacing w:line="360" w:lineRule="auto"/>
              <w:contextualSpacing/>
              <w:jc w:val="center"/>
              <w:rPr>
                <w:rFonts w:asciiTheme="minorEastAsia" w:hAnsiTheme="minorEastAsia" w:cstheme="minorEastAsia" w:hint="eastAsia"/>
                <w:szCs w:val="21"/>
              </w:rPr>
            </w:pPr>
          </w:p>
          <w:p w14:paraId="7315E824" w14:textId="77777777" w:rsidR="00D15DC1" w:rsidRDefault="00D15DC1">
            <w:pPr>
              <w:spacing w:line="360" w:lineRule="auto"/>
              <w:contextualSpacing/>
              <w:jc w:val="center"/>
              <w:rPr>
                <w:rFonts w:asciiTheme="minorEastAsia" w:hAnsiTheme="minorEastAsia" w:cstheme="minorEastAsia" w:hint="eastAsia"/>
                <w:szCs w:val="21"/>
              </w:rPr>
            </w:pPr>
          </w:p>
          <w:p w14:paraId="2A77A15E"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4A766964"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运筹学</w:t>
            </w:r>
          </w:p>
        </w:tc>
        <w:tc>
          <w:tcPr>
            <w:tcW w:w="3311" w:type="dxa"/>
          </w:tcPr>
          <w:p w14:paraId="3BB5FDCA"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铁路运输组织</w:t>
            </w:r>
          </w:p>
        </w:tc>
      </w:tr>
      <w:tr w:rsidR="00D15DC1" w14:paraId="517E358A" w14:textId="77777777">
        <w:trPr>
          <w:trHeight w:val="454"/>
        </w:trPr>
        <w:tc>
          <w:tcPr>
            <w:tcW w:w="1591" w:type="dxa"/>
            <w:vMerge/>
          </w:tcPr>
          <w:p w14:paraId="61DAFACF" w14:textId="77777777" w:rsidR="00D15DC1" w:rsidRDefault="00D15DC1">
            <w:pPr>
              <w:spacing w:line="360" w:lineRule="auto"/>
              <w:contextualSpacing/>
              <w:jc w:val="center"/>
              <w:rPr>
                <w:rFonts w:asciiTheme="minorEastAsia" w:hAnsiTheme="minorEastAsia" w:cstheme="minorEastAsia" w:hint="eastAsia"/>
                <w:szCs w:val="21"/>
              </w:rPr>
            </w:pPr>
          </w:p>
        </w:tc>
        <w:tc>
          <w:tcPr>
            <w:tcW w:w="3620" w:type="dxa"/>
          </w:tcPr>
          <w:p w14:paraId="28D4B28A"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交通流理论与方法</w:t>
            </w:r>
          </w:p>
        </w:tc>
        <w:tc>
          <w:tcPr>
            <w:tcW w:w="3311" w:type="dxa"/>
          </w:tcPr>
          <w:p w14:paraId="02D21BB9"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计算方法与程序设计</w:t>
            </w:r>
          </w:p>
        </w:tc>
      </w:tr>
      <w:tr w:rsidR="00D15DC1" w14:paraId="46B8317C" w14:textId="77777777">
        <w:trPr>
          <w:trHeight w:val="454"/>
        </w:trPr>
        <w:tc>
          <w:tcPr>
            <w:tcW w:w="1591" w:type="dxa"/>
            <w:vMerge/>
          </w:tcPr>
          <w:p w14:paraId="71D8C4DA" w14:textId="77777777" w:rsidR="00D15DC1" w:rsidRDefault="00D15DC1">
            <w:pPr>
              <w:spacing w:line="360" w:lineRule="auto"/>
              <w:contextualSpacing/>
              <w:jc w:val="center"/>
              <w:rPr>
                <w:rFonts w:asciiTheme="minorEastAsia" w:hAnsiTheme="minorEastAsia" w:cstheme="minorEastAsia" w:hint="eastAsia"/>
                <w:szCs w:val="21"/>
              </w:rPr>
            </w:pPr>
          </w:p>
        </w:tc>
        <w:tc>
          <w:tcPr>
            <w:tcW w:w="3620" w:type="dxa"/>
          </w:tcPr>
          <w:p w14:paraId="2404C83F"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学科前沿讲座</w:t>
            </w:r>
          </w:p>
        </w:tc>
        <w:tc>
          <w:tcPr>
            <w:tcW w:w="3311" w:type="dxa"/>
          </w:tcPr>
          <w:p w14:paraId="6682E5D6"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城市轨道交通运营与设计</w:t>
            </w:r>
          </w:p>
        </w:tc>
      </w:tr>
      <w:tr w:rsidR="00D15DC1" w14:paraId="7E8E4F4A" w14:textId="77777777">
        <w:trPr>
          <w:trHeight w:val="454"/>
        </w:trPr>
        <w:tc>
          <w:tcPr>
            <w:tcW w:w="1591" w:type="dxa"/>
            <w:vMerge/>
          </w:tcPr>
          <w:p w14:paraId="234F4DB9" w14:textId="77777777" w:rsidR="00D15DC1" w:rsidRDefault="00D15DC1">
            <w:pPr>
              <w:spacing w:line="360" w:lineRule="auto"/>
              <w:contextualSpacing/>
              <w:jc w:val="center"/>
              <w:rPr>
                <w:rFonts w:asciiTheme="minorEastAsia" w:hAnsiTheme="minorEastAsia" w:cstheme="minorEastAsia" w:hint="eastAsia"/>
                <w:szCs w:val="21"/>
              </w:rPr>
            </w:pPr>
          </w:p>
        </w:tc>
        <w:tc>
          <w:tcPr>
            <w:tcW w:w="3620" w:type="dxa"/>
          </w:tcPr>
          <w:p w14:paraId="3465665C"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专业英语及科技写作</w:t>
            </w:r>
          </w:p>
        </w:tc>
        <w:tc>
          <w:tcPr>
            <w:tcW w:w="3311" w:type="dxa"/>
          </w:tcPr>
          <w:p w14:paraId="31149B15"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智能交通系统（ITS）</w:t>
            </w:r>
          </w:p>
        </w:tc>
      </w:tr>
      <w:tr w:rsidR="00D15DC1" w14:paraId="3644519E" w14:textId="77777777">
        <w:trPr>
          <w:trHeight w:val="454"/>
        </w:trPr>
        <w:tc>
          <w:tcPr>
            <w:tcW w:w="1591" w:type="dxa"/>
            <w:vMerge/>
          </w:tcPr>
          <w:p w14:paraId="3484C1D8" w14:textId="77777777" w:rsidR="00D15DC1" w:rsidRDefault="00D15DC1">
            <w:pPr>
              <w:spacing w:line="360" w:lineRule="auto"/>
              <w:contextualSpacing/>
              <w:jc w:val="center"/>
              <w:rPr>
                <w:rFonts w:asciiTheme="minorEastAsia" w:hAnsiTheme="minorEastAsia" w:cstheme="minorEastAsia" w:hint="eastAsia"/>
                <w:szCs w:val="21"/>
              </w:rPr>
            </w:pPr>
          </w:p>
        </w:tc>
        <w:tc>
          <w:tcPr>
            <w:tcW w:w="3620" w:type="dxa"/>
          </w:tcPr>
          <w:p w14:paraId="640D4DF7"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现代优化技术及实现</w:t>
            </w:r>
          </w:p>
        </w:tc>
        <w:tc>
          <w:tcPr>
            <w:tcW w:w="3311" w:type="dxa"/>
          </w:tcPr>
          <w:p w14:paraId="6D74D60B"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GIS地理信息系统</w:t>
            </w:r>
          </w:p>
        </w:tc>
      </w:tr>
      <w:tr w:rsidR="00D15DC1" w14:paraId="71DC0DC4" w14:textId="77777777">
        <w:trPr>
          <w:trHeight w:val="454"/>
        </w:trPr>
        <w:tc>
          <w:tcPr>
            <w:tcW w:w="1591" w:type="dxa"/>
            <w:vMerge/>
          </w:tcPr>
          <w:p w14:paraId="75FBEA58" w14:textId="77777777" w:rsidR="00D15DC1" w:rsidRDefault="00D15DC1">
            <w:pPr>
              <w:spacing w:line="360" w:lineRule="auto"/>
              <w:contextualSpacing/>
              <w:jc w:val="center"/>
              <w:rPr>
                <w:rFonts w:asciiTheme="minorEastAsia" w:hAnsiTheme="minorEastAsia" w:cstheme="minorEastAsia" w:hint="eastAsia"/>
                <w:szCs w:val="21"/>
              </w:rPr>
            </w:pPr>
          </w:p>
        </w:tc>
        <w:tc>
          <w:tcPr>
            <w:tcW w:w="3620" w:type="dxa"/>
          </w:tcPr>
          <w:p w14:paraId="5C5A2AE7" w14:textId="77777777" w:rsidR="00D15DC1"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马克思主义和社会科学方法论</w:t>
            </w:r>
          </w:p>
        </w:tc>
        <w:tc>
          <w:tcPr>
            <w:tcW w:w="3311" w:type="dxa"/>
          </w:tcPr>
          <w:p w14:paraId="0A2CC05B" w14:textId="77777777" w:rsidR="00D15DC1" w:rsidRDefault="00D15DC1">
            <w:pPr>
              <w:spacing w:line="360" w:lineRule="auto"/>
              <w:contextualSpacing/>
              <w:jc w:val="center"/>
              <w:rPr>
                <w:rFonts w:asciiTheme="minorEastAsia" w:hAnsiTheme="minorEastAsia" w:cstheme="minorEastAsia" w:hint="eastAsia"/>
                <w:szCs w:val="21"/>
              </w:rPr>
            </w:pPr>
          </w:p>
        </w:tc>
      </w:tr>
    </w:tbl>
    <w:p w14:paraId="22090693" w14:textId="77777777" w:rsidR="00D15DC1" w:rsidRDefault="00D15DC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F4DFE4F" w14:textId="77777777" w:rsidR="00D15DC1" w:rsidRDefault="00000000">
      <w:pPr>
        <w:pStyle w:val="a5"/>
        <w:snapToGrid w:val="0"/>
        <w:spacing w:beforeAutospacing="0" w:afterAutospacing="0" w:line="360" w:lineRule="auto"/>
        <w:contextualSpacing/>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注：部分课程教学参照实际</w:t>
      </w:r>
    </w:p>
    <w:p w14:paraId="7E21EC6B" w14:textId="77777777" w:rsidR="00D15DC1" w:rsidRDefault="00D15DC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677CF43" w14:textId="77777777" w:rsidR="00D15DC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6D572A0F" w14:textId="77777777" w:rsidR="00D15DC1"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43F570DE" w14:textId="77777777" w:rsidR="00D15DC1"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39F7D262" w14:textId="77777777" w:rsidR="00D15DC1" w:rsidRDefault="00D15DC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34EDC5B" w14:textId="77777777" w:rsidR="00D15DC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33687855" w14:textId="77777777" w:rsidR="00D15DC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49DD36A9" w14:textId="77777777" w:rsidR="00D15DC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4686CCCF" w14:textId="77777777" w:rsidR="00D15DC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3C6BEBC1" w14:textId="77777777" w:rsidR="00D15DC1"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13401AB1" w14:textId="77777777" w:rsidR="00D15DC1" w:rsidRDefault="00000000">
      <w:pPr>
        <w:pStyle w:val="a5"/>
        <w:snapToGrid w:val="0"/>
        <w:spacing w:beforeAutospacing="0" w:afterAutospacing="0" w:line="360" w:lineRule="auto"/>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前置专业要求：交通运输工程、管理科学与工程、计算机科学与技术、控制科学与工程、信息与通信工程等。</w:t>
      </w:r>
    </w:p>
    <w:p w14:paraId="1D4CA808" w14:textId="77777777" w:rsidR="00D15DC1" w:rsidRDefault="00D15DC1">
      <w:pPr>
        <w:pStyle w:val="a5"/>
        <w:snapToGrid w:val="0"/>
        <w:spacing w:beforeAutospacing="0" w:afterAutospacing="0" w:line="360" w:lineRule="auto"/>
        <w:contextualSpacing/>
        <w:rPr>
          <w:rFonts w:asciiTheme="minorEastAsia" w:hAnsiTheme="minorEastAsia" w:cstheme="minorEastAsia" w:hint="eastAsia"/>
          <w:sz w:val="21"/>
          <w:szCs w:val="21"/>
        </w:rPr>
      </w:pPr>
    </w:p>
    <w:p w14:paraId="20D7096F" w14:textId="77777777" w:rsidR="00D15DC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7491A895" w14:textId="77777777" w:rsidR="00D15DC1"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12FD645A" w14:textId="77777777" w:rsidR="00D15DC1"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1DFF8CDD" w14:textId="77777777" w:rsidR="00D15DC1"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6FCBCEA7" w14:textId="77777777" w:rsidR="00D15DC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78C3CABC" w14:textId="77777777" w:rsidR="00D15DC1" w:rsidRDefault="00D15DC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0A45880F" w14:textId="77777777" w:rsidR="00D15DC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2881615F" w14:textId="77777777" w:rsidR="00D15DC1"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06813CA7" w14:textId="77777777" w:rsidR="00D15DC1"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27007C8E" w14:textId="77777777" w:rsidR="00D15DC1" w:rsidRDefault="00D15DC1">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58B71BAA" w14:textId="77777777" w:rsidR="00D15DC1"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03AD3EEC" w14:textId="77777777" w:rsidR="00D15DC1"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2853A85F" w14:textId="77777777" w:rsidR="00D15DC1"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5A7AEE3A" w14:textId="77777777" w:rsidR="00D15DC1" w:rsidRDefault="00D15DC1">
      <w:pPr>
        <w:rPr>
          <w:rFonts w:ascii="宋体" w:eastAsia="宋体" w:hAnsi="宋体" w:cs="宋体" w:hint="eastAsia"/>
          <w:b/>
          <w:bCs/>
          <w:color w:val="000000" w:themeColor="text1"/>
          <w:sz w:val="44"/>
          <w:szCs w:val="44"/>
        </w:rPr>
      </w:pPr>
    </w:p>
    <w:sectPr w:rsidR="00D15DC1">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1BDCD" w14:textId="77777777" w:rsidR="00286FF5" w:rsidRDefault="00286FF5">
      <w:r>
        <w:separator/>
      </w:r>
    </w:p>
  </w:endnote>
  <w:endnote w:type="continuationSeparator" w:id="0">
    <w:p w14:paraId="20D2E69B" w14:textId="77777777" w:rsidR="00286FF5" w:rsidRDefault="00286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524B3" w14:textId="77777777" w:rsidR="00286FF5" w:rsidRDefault="00286FF5">
      <w:r>
        <w:separator/>
      </w:r>
    </w:p>
  </w:footnote>
  <w:footnote w:type="continuationSeparator" w:id="0">
    <w:p w14:paraId="54CCA4A8" w14:textId="77777777" w:rsidR="00286FF5" w:rsidRDefault="00286F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1C3C" w14:textId="77777777" w:rsidR="00D15DC1" w:rsidRDefault="00000000">
    <w:pPr>
      <w:pStyle w:val="a4"/>
    </w:pPr>
    <w:r>
      <w:rPr>
        <w:noProof/>
      </w:rPr>
      <w:drawing>
        <wp:anchor distT="0" distB="0" distL="114300" distR="114300" simplePos="0" relativeHeight="251659264" behindDoc="1" locked="0" layoutInCell="1" allowOverlap="1" wp14:anchorId="55FFFBAF" wp14:editId="58673D51">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410808205">
    <w:abstractNumId w:val="0"/>
  </w:num>
  <w:num w:numId="2" w16cid:durableId="129714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286FF5"/>
    <w:rsid w:val="00B81183"/>
    <w:rsid w:val="00D15DC1"/>
    <w:rsid w:val="00DE62E7"/>
    <w:rsid w:val="070F49A2"/>
    <w:rsid w:val="103E38B5"/>
    <w:rsid w:val="16321C77"/>
    <w:rsid w:val="1A1B54BE"/>
    <w:rsid w:val="1AE101ED"/>
    <w:rsid w:val="23971A56"/>
    <w:rsid w:val="31C64CB7"/>
    <w:rsid w:val="362829E1"/>
    <w:rsid w:val="452F6966"/>
    <w:rsid w:val="5093612C"/>
    <w:rsid w:val="51B05393"/>
    <w:rsid w:val="570F1328"/>
    <w:rsid w:val="74573252"/>
    <w:rsid w:val="76106225"/>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51D389"/>
  <w15:docId w15:val="{52FBD2DD-72AA-459D-BCA3-130061277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qFormat/>
    <w:rPr>
      <w:color w:val="0000FF"/>
      <w:u w:val="single"/>
    </w:rPr>
  </w:style>
  <w:style w:type="paragraph" w:customStyle="1" w:styleId="1">
    <w:name w:val="列出段落1"/>
    <w:basedOn w:val="a"/>
    <w:autoRedefine/>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40D4A1611A8C474FA19830A9FB27DA5E_13</vt:lpwstr>
  </property>
</Properties>
</file>