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97121" w14:textId="77777777" w:rsidR="00FD248E" w:rsidRDefault="00FD248E"/>
    <w:p w14:paraId="0045D383" w14:textId="77777777" w:rsidR="00FD248E" w:rsidRDefault="00000000">
      <w:pPr>
        <w:jc w:val="center"/>
      </w:pPr>
      <w:r>
        <w:rPr>
          <w:noProof/>
        </w:rPr>
        <w:drawing>
          <wp:inline distT="0" distB="0" distL="114300" distR="114300" wp14:anchorId="7C745841" wp14:editId="166AAEB3">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11CFF7DF" w14:textId="77777777" w:rsidR="00FD248E"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华东交通大学控制科学与工程专业同等学力人员申请硕士学位招生简章</w:t>
      </w:r>
    </w:p>
    <w:p w14:paraId="7264F117" w14:textId="77777777" w:rsidR="00FD248E" w:rsidRDefault="00FD248E">
      <w:pPr>
        <w:adjustRightInd w:val="0"/>
        <w:snapToGrid w:val="0"/>
        <w:spacing w:line="360" w:lineRule="auto"/>
        <w:rPr>
          <w:rFonts w:ascii="宋体" w:eastAsia="宋体" w:hAnsi="宋体" w:cs="宋体" w:hint="eastAsia"/>
          <w:color w:val="000000" w:themeColor="text1"/>
          <w:sz w:val="24"/>
        </w:rPr>
      </w:pPr>
    </w:p>
    <w:p w14:paraId="2581E7B7" w14:textId="77777777" w:rsidR="00FD248E"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学校简介：</w:t>
      </w:r>
    </w:p>
    <w:p w14:paraId="03A313CD" w14:textId="77777777" w:rsidR="00FD248E"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7"/>
          <w:rFonts w:ascii="宋体" w:eastAsia="宋体" w:hAnsi="宋体" w:cs="宋体" w:hint="eastAsia"/>
          <w:b w:val="0"/>
          <w:bCs/>
          <w:color w:val="000000" w:themeColor="text1"/>
          <w:sz w:val="21"/>
          <w:szCs w:val="21"/>
          <w:shd w:val="clear" w:color="auto" w:fill="FFFFFF"/>
        </w:rPr>
        <w:t>研究生推免工作</w:t>
      </w:r>
      <w:proofErr w:type="gramEnd"/>
      <w:r>
        <w:rPr>
          <w:rStyle w:val="a7"/>
          <w:rFonts w:ascii="宋体" w:eastAsia="宋体" w:hAnsi="宋体" w:cs="宋体" w:hint="eastAsia"/>
          <w:b w:val="0"/>
          <w:bCs/>
          <w:color w:val="000000" w:themeColor="text1"/>
          <w:sz w:val="21"/>
          <w:szCs w:val="21"/>
          <w:shd w:val="clear" w:color="auto" w:fill="FFFFFF"/>
        </w:rPr>
        <w:t>单位。</w:t>
      </w:r>
    </w:p>
    <w:p w14:paraId="223B5B6B" w14:textId="77777777" w:rsidR="00FD248E"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电气与自动化工程学院的前身是创办于1979年9月的机电工程系。2016年5月，电气与电子工程学院更名为电气与自动化工程学院。学院立足“交通特色、轨道核心”办学定位，结合江西区域经济社会发展和轨道交通行业对人才、技术、创新成果的需求，积极开展专业学科建设。</w:t>
      </w:r>
    </w:p>
    <w:p w14:paraId="5A2ED756" w14:textId="77777777" w:rsidR="00FD248E"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控制科学与工程学科办学历史悠久、发展迅速。自动化专业始建于1979年9月, 分别于2010年获批教育部国家级特色专业、2019年3月入选江西省一流专业、12月成为江西首家通过工程教育认证的国家一流自动化专业建设点；控制科学与工程学科于2011年获批一级学科硕士授权点、2013年获批一级学科博士授权点、2014获博士后科研流动站。</w:t>
      </w:r>
    </w:p>
    <w:p w14:paraId="5207D250" w14:textId="77777777" w:rsidR="00FD248E"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学科围绕江西经济社会发展和轨道交通行业对自动化人才、技术及产业化成果的迫切需求，已建设为省内唯一具备本科-硕士-博士-博士后完整高层次人才培养体系的控制科学，为电子信息、有色金属及先进装备智能制造、智慧交通等优势特色产业提供人才和技术支撑。学科先后获批江西省“十一五”重点学科、江西省“十二五”高水平学科、江西省高校学科联盟牵头学科、“十三五”江西省一流学科，并顺利通过 2017 年博士学位授权合格评估，2021年被评为“十四五”江西省高峰特色学科。</w:t>
      </w:r>
    </w:p>
    <w:p w14:paraId="111C1943" w14:textId="773FF113" w:rsidR="00FD248E"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华东交通大学电气与自动化工程学院面向社会开设控制科学与工程专业同等学力人员申请硕士学位课程班，用以培养更多的专业人才。</w:t>
      </w:r>
    </w:p>
    <w:p w14:paraId="7E01DCC7" w14:textId="77777777" w:rsidR="00FD248E" w:rsidRDefault="00FD248E">
      <w:pPr>
        <w:pStyle w:val="a5"/>
        <w:widowControl/>
        <w:adjustRightInd w:val="0"/>
        <w:snapToGrid w:val="0"/>
        <w:spacing w:beforeAutospacing="0" w:afterAutospacing="0" w:line="360" w:lineRule="auto"/>
        <w:jc w:val="both"/>
        <w:rPr>
          <w:rStyle w:val="a7"/>
          <w:rFonts w:ascii="宋体" w:eastAsia="宋体" w:hAnsi="宋体" w:cs="宋体" w:hint="eastAsia"/>
          <w:b w:val="0"/>
          <w:bCs/>
          <w:color w:val="000000" w:themeColor="text1"/>
          <w:sz w:val="21"/>
          <w:szCs w:val="21"/>
          <w:shd w:val="clear" w:color="auto" w:fill="FFFFFF"/>
        </w:rPr>
      </w:pPr>
    </w:p>
    <w:p w14:paraId="287FBC66" w14:textId="77777777" w:rsidR="00FD248E"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培养目标：</w:t>
      </w:r>
    </w:p>
    <w:p w14:paraId="476B6381" w14:textId="77777777" w:rsidR="00FD248E"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lang w:bidi="ar"/>
        </w:rPr>
      </w:pPr>
      <w:r>
        <w:rPr>
          <w:rStyle w:val="a7"/>
          <w:rFonts w:ascii="宋体" w:eastAsia="宋体" w:hAnsi="宋体" w:cs="宋体" w:hint="eastAsia"/>
          <w:b w:val="0"/>
          <w:bCs/>
          <w:color w:val="000000" w:themeColor="text1"/>
          <w:sz w:val="21"/>
          <w:szCs w:val="21"/>
          <w:shd w:val="clear" w:color="auto" w:fill="FFFFFF"/>
          <w:lang w:eastAsia="zh-TW" w:bidi="ar"/>
        </w:rPr>
        <w:t>本</w:t>
      </w:r>
      <w:r>
        <w:rPr>
          <w:rStyle w:val="a7"/>
          <w:rFonts w:ascii="宋体" w:eastAsia="宋体" w:hAnsi="宋体" w:cs="宋体" w:hint="eastAsia"/>
          <w:b w:val="0"/>
          <w:bCs/>
          <w:color w:val="000000" w:themeColor="text1"/>
          <w:sz w:val="21"/>
          <w:szCs w:val="21"/>
          <w:shd w:val="clear" w:color="auto" w:fill="FFFFFF"/>
          <w:lang w:bidi="ar"/>
        </w:rPr>
        <w:t>专业要求学员掌握控制科学与工程学科发展动向和国内外研究前沿，具有较强的独立从事科学研究和管理工作能力，能创造性地研究和解决与本学科有关的理论和实际问题。有严谨务实的科学态度和创新精神，掌握本学科坚实宽广的基础理论和系统深入的专业知识。至少掌握一门外国语，能熟练阅读本专业外文资料，开展学术研究，进行国际学术交流，培养具有撰写控制科学与工程学科科技论文的能力以及承担科研院所、企事业单位科研、技术攻关和管理等工作的能力的专门人才。</w:t>
      </w:r>
    </w:p>
    <w:p w14:paraId="7DD52C84" w14:textId="77777777" w:rsidR="00FD248E" w:rsidRDefault="00FD248E">
      <w:pPr>
        <w:pStyle w:val="a5"/>
        <w:widowControl/>
        <w:adjustRightInd w:val="0"/>
        <w:snapToGrid w:val="0"/>
        <w:spacing w:beforeAutospacing="0" w:afterAutospacing="0" w:line="360" w:lineRule="auto"/>
        <w:jc w:val="both"/>
        <w:rPr>
          <w:rStyle w:val="a7"/>
          <w:rFonts w:ascii="宋体" w:eastAsia="宋体" w:hAnsi="宋体" w:cs="宋体" w:hint="eastAsia"/>
          <w:b w:val="0"/>
          <w:bCs/>
          <w:color w:val="000000" w:themeColor="text1"/>
          <w:sz w:val="21"/>
          <w:szCs w:val="21"/>
          <w:shd w:val="clear" w:color="auto" w:fill="FFFFFF"/>
          <w:lang w:bidi="ar"/>
        </w:rPr>
      </w:pPr>
    </w:p>
    <w:p w14:paraId="7619D04A" w14:textId="77777777" w:rsidR="00FD248E"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课程设置：</w:t>
      </w:r>
    </w:p>
    <w:tbl>
      <w:tblPr>
        <w:tblStyle w:val="a6"/>
        <w:tblW w:w="0" w:type="auto"/>
        <w:tblLook w:val="04A0" w:firstRow="1" w:lastRow="0" w:firstColumn="1" w:lastColumn="0" w:noHBand="0" w:noVBand="1"/>
      </w:tblPr>
      <w:tblGrid>
        <w:gridCol w:w="1591"/>
        <w:gridCol w:w="3620"/>
        <w:gridCol w:w="3311"/>
      </w:tblGrid>
      <w:tr w:rsidR="00FD248E" w14:paraId="004AFA84" w14:textId="77777777">
        <w:trPr>
          <w:trHeight w:val="454"/>
        </w:trPr>
        <w:tc>
          <w:tcPr>
            <w:tcW w:w="8522" w:type="dxa"/>
            <w:gridSpan w:val="3"/>
          </w:tcPr>
          <w:p w14:paraId="5758AF53" w14:textId="77777777" w:rsidR="00FD248E"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控制科学与工程专业课程设置</w:t>
            </w:r>
          </w:p>
        </w:tc>
      </w:tr>
      <w:tr w:rsidR="00FD248E" w14:paraId="20D04A9F" w14:textId="77777777">
        <w:trPr>
          <w:trHeight w:val="454"/>
        </w:trPr>
        <w:tc>
          <w:tcPr>
            <w:tcW w:w="1591" w:type="dxa"/>
            <w:vMerge w:val="restart"/>
            <w:vAlign w:val="center"/>
          </w:tcPr>
          <w:p w14:paraId="57795AFD" w14:textId="77777777" w:rsidR="00FD248E"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65A48F39" w14:textId="77777777" w:rsidR="00FD248E" w:rsidRDefault="00000000">
            <w:pPr>
              <w:spacing w:line="360" w:lineRule="auto"/>
              <w:contextualSpacing/>
              <w:jc w:val="center"/>
              <w:rPr>
                <w:rFonts w:asciiTheme="minorEastAsia" w:hAnsiTheme="minorEastAsia" w:cstheme="minorEastAsia" w:hint="eastAsia"/>
                <w:szCs w:val="21"/>
              </w:rPr>
            </w:pPr>
            <w:r>
              <w:rPr>
                <w:rStyle w:val="a7"/>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75177AD6" w14:textId="77777777" w:rsidR="00FD248E"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FD248E" w14:paraId="2CDC3AC0" w14:textId="77777777">
        <w:trPr>
          <w:trHeight w:val="454"/>
        </w:trPr>
        <w:tc>
          <w:tcPr>
            <w:tcW w:w="1591" w:type="dxa"/>
            <w:vMerge/>
          </w:tcPr>
          <w:p w14:paraId="71CB785F" w14:textId="77777777" w:rsidR="00FD248E" w:rsidRDefault="00FD248E">
            <w:pPr>
              <w:spacing w:line="360" w:lineRule="auto"/>
              <w:contextualSpacing/>
              <w:jc w:val="center"/>
              <w:rPr>
                <w:rFonts w:asciiTheme="minorEastAsia" w:hAnsiTheme="minorEastAsia" w:cstheme="minorEastAsia" w:hint="eastAsia"/>
                <w:szCs w:val="21"/>
              </w:rPr>
            </w:pPr>
          </w:p>
        </w:tc>
        <w:tc>
          <w:tcPr>
            <w:tcW w:w="3620" w:type="dxa"/>
          </w:tcPr>
          <w:p w14:paraId="25D5C0B6" w14:textId="77777777" w:rsidR="00FD248E"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自然辩证法</w:t>
            </w:r>
          </w:p>
        </w:tc>
        <w:tc>
          <w:tcPr>
            <w:tcW w:w="3311" w:type="dxa"/>
          </w:tcPr>
          <w:p w14:paraId="144EC4AF" w14:textId="77777777" w:rsidR="00FD248E"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FD248E" w14:paraId="58C1073C" w14:textId="77777777">
        <w:trPr>
          <w:trHeight w:val="454"/>
        </w:trPr>
        <w:tc>
          <w:tcPr>
            <w:tcW w:w="1591" w:type="dxa"/>
            <w:vMerge w:val="restart"/>
          </w:tcPr>
          <w:p w14:paraId="17C6B50A" w14:textId="77777777" w:rsidR="00FD248E" w:rsidRDefault="00FD248E">
            <w:pPr>
              <w:spacing w:line="360" w:lineRule="auto"/>
              <w:contextualSpacing/>
              <w:jc w:val="center"/>
              <w:rPr>
                <w:rFonts w:asciiTheme="minorEastAsia" w:hAnsiTheme="minorEastAsia" w:cstheme="minorEastAsia" w:hint="eastAsia"/>
                <w:szCs w:val="21"/>
              </w:rPr>
            </w:pPr>
          </w:p>
          <w:p w14:paraId="3D1BF994" w14:textId="77777777" w:rsidR="00FD248E" w:rsidRDefault="00FD248E">
            <w:pPr>
              <w:spacing w:line="360" w:lineRule="auto"/>
              <w:contextualSpacing/>
              <w:jc w:val="center"/>
              <w:rPr>
                <w:rFonts w:asciiTheme="minorEastAsia" w:hAnsiTheme="minorEastAsia" w:cstheme="minorEastAsia" w:hint="eastAsia"/>
                <w:szCs w:val="21"/>
              </w:rPr>
            </w:pPr>
          </w:p>
          <w:p w14:paraId="75427E66" w14:textId="77777777" w:rsidR="00FD248E"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12F814E1" w14:textId="77777777" w:rsidR="00FD248E"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现代控制理论</w:t>
            </w:r>
          </w:p>
        </w:tc>
        <w:tc>
          <w:tcPr>
            <w:tcW w:w="3311" w:type="dxa"/>
          </w:tcPr>
          <w:p w14:paraId="5245BF19" w14:textId="77777777" w:rsidR="00FD248E"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人工智能基础</w:t>
            </w:r>
          </w:p>
        </w:tc>
      </w:tr>
      <w:tr w:rsidR="00FD248E" w14:paraId="379D057A" w14:textId="77777777">
        <w:trPr>
          <w:trHeight w:val="454"/>
        </w:trPr>
        <w:tc>
          <w:tcPr>
            <w:tcW w:w="1591" w:type="dxa"/>
            <w:vMerge/>
          </w:tcPr>
          <w:p w14:paraId="003F6AE2" w14:textId="77777777" w:rsidR="00FD248E" w:rsidRDefault="00FD248E">
            <w:pPr>
              <w:spacing w:line="360" w:lineRule="auto"/>
              <w:contextualSpacing/>
              <w:jc w:val="center"/>
              <w:rPr>
                <w:rFonts w:asciiTheme="minorEastAsia" w:hAnsiTheme="minorEastAsia" w:cstheme="minorEastAsia" w:hint="eastAsia"/>
                <w:szCs w:val="21"/>
              </w:rPr>
            </w:pPr>
          </w:p>
        </w:tc>
        <w:tc>
          <w:tcPr>
            <w:tcW w:w="3620" w:type="dxa"/>
          </w:tcPr>
          <w:p w14:paraId="1BF40AAA" w14:textId="77777777" w:rsidR="00FD248E"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智能控制</w:t>
            </w:r>
          </w:p>
        </w:tc>
        <w:tc>
          <w:tcPr>
            <w:tcW w:w="3311" w:type="dxa"/>
          </w:tcPr>
          <w:p w14:paraId="7C49D5D3" w14:textId="77777777" w:rsidR="00FD248E"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计算机控制系统</w:t>
            </w:r>
          </w:p>
        </w:tc>
      </w:tr>
      <w:tr w:rsidR="00FD248E" w14:paraId="1B0A0693" w14:textId="77777777">
        <w:trPr>
          <w:trHeight w:val="454"/>
        </w:trPr>
        <w:tc>
          <w:tcPr>
            <w:tcW w:w="1591" w:type="dxa"/>
            <w:vMerge/>
          </w:tcPr>
          <w:p w14:paraId="1DE7DCAF" w14:textId="77777777" w:rsidR="00FD248E" w:rsidRDefault="00FD248E">
            <w:pPr>
              <w:spacing w:line="360" w:lineRule="auto"/>
              <w:contextualSpacing/>
              <w:jc w:val="center"/>
              <w:rPr>
                <w:rFonts w:asciiTheme="minorEastAsia" w:hAnsiTheme="minorEastAsia" w:cstheme="minorEastAsia" w:hint="eastAsia"/>
                <w:szCs w:val="21"/>
              </w:rPr>
            </w:pPr>
          </w:p>
        </w:tc>
        <w:tc>
          <w:tcPr>
            <w:tcW w:w="3620" w:type="dxa"/>
          </w:tcPr>
          <w:p w14:paraId="6309E45D" w14:textId="77777777" w:rsidR="00FD248E"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学科前沿讲座</w:t>
            </w:r>
          </w:p>
        </w:tc>
        <w:tc>
          <w:tcPr>
            <w:tcW w:w="3311" w:type="dxa"/>
          </w:tcPr>
          <w:p w14:paraId="0D8AA5DF" w14:textId="77777777" w:rsidR="00FD248E"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数值分析</w:t>
            </w:r>
          </w:p>
        </w:tc>
      </w:tr>
      <w:tr w:rsidR="00FD248E" w14:paraId="112221D7" w14:textId="77777777">
        <w:trPr>
          <w:trHeight w:val="454"/>
        </w:trPr>
        <w:tc>
          <w:tcPr>
            <w:tcW w:w="1591" w:type="dxa"/>
            <w:vMerge/>
          </w:tcPr>
          <w:p w14:paraId="6AAAEF78" w14:textId="77777777" w:rsidR="00FD248E" w:rsidRDefault="00FD248E">
            <w:pPr>
              <w:spacing w:line="360" w:lineRule="auto"/>
              <w:contextualSpacing/>
              <w:jc w:val="center"/>
              <w:rPr>
                <w:rFonts w:asciiTheme="minorEastAsia" w:hAnsiTheme="minorEastAsia" w:cstheme="minorEastAsia" w:hint="eastAsia"/>
                <w:szCs w:val="21"/>
              </w:rPr>
            </w:pPr>
          </w:p>
        </w:tc>
        <w:tc>
          <w:tcPr>
            <w:tcW w:w="3620" w:type="dxa"/>
          </w:tcPr>
          <w:p w14:paraId="3AB1C608" w14:textId="77777777" w:rsidR="00FD248E"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专业外语与科技写作</w:t>
            </w:r>
          </w:p>
        </w:tc>
        <w:tc>
          <w:tcPr>
            <w:tcW w:w="3311" w:type="dxa"/>
          </w:tcPr>
          <w:p w14:paraId="5106E8E9" w14:textId="77777777" w:rsidR="00FD248E"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大数据技术</w:t>
            </w:r>
          </w:p>
        </w:tc>
      </w:tr>
      <w:tr w:rsidR="00FD248E" w14:paraId="1EB6282C" w14:textId="77777777">
        <w:trPr>
          <w:trHeight w:val="454"/>
        </w:trPr>
        <w:tc>
          <w:tcPr>
            <w:tcW w:w="1591" w:type="dxa"/>
            <w:vMerge/>
          </w:tcPr>
          <w:p w14:paraId="6578FDDC" w14:textId="77777777" w:rsidR="00FD248E" w:rsidRDefault="00FD248E">
            <w:pPr>
              <w:spacing w:line="360" w:lineRule="auto"/>
              <w:contextualSpacing/>
              <w:jc w:val="center"/>
              <w:rPr>
                <w:rFonts w:asciiTheme="minorEastAsia" w:hAnsiTheme="minorEastAsia" w:cstheme="minorEastAsia" w:hint="eastAsia"/>
                <w:szCs w:val="21"/>
              </w:rPr>
            </w:pPr>
          </w:p>
        </w:tc>
        <w:tc>
          <w:tcPr>
            <w:tcW w:w="3620" w:type="dxa"/>
          </w:tcPr>
          <w:p w14:paraId="6DAFC912" w14:textId="77777777" w:rsidR="00FD248E"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物联网技术</w:t>
            </w:r>
          </w:p>
        </w:tc>
        <w:tc>
          <w:tcPr>
            <w:tcW w:w="3311" w:type="dxa"/>
          </w:tcPr>
          <w:p w14:paraId="0BC1A3D0" w14:textId="77777777" w:rsidR="00FD248E"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嵌入式系统开发</w:t>
            </w:r>
          </w:p>
        </w:tc>
      </w:tr>
    </w:tbl>
    <w:p w14:paraId="4D2FF002" w14:textId="77777777" w:rsidR="00FD248E" w:rsidRDefault="00FD248E">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43175644" w14:textId="77777777" w:rsidR="00FD248E" w:rsidRDefault="00000000">
      <w:pPr>
        <w:pStyle w:val="a5"/>
        <w:snapToGrid w:val="0"/>
        <w:spacing w:beforeAutospacing="0" w:afterAutospacing="0" w:line="360" w:lineRule="auto"/>
        <w:contextualSpacing/>
        <w:jc w:val="center"/>
        <w:rPr>
          <w:rStyle w:val="a7"/>
          <w:rFonts w:ascii="宋体" w:eastAsia="宋体" w:hAnsi="宋体" w:cs="宋体" w:hint="eastAsia"/>
          <w:color w:val="000000" w:themeColor="text1"/>
          <w:shd w:val="clear" w:color="auto" w:fill="FFFFFF"/>
        </w:rPr>
      </w:pPr>
      <w:r>
        <w:rPr>
          <w:rFonts w:asciiTheme="minorEastAsia" w:hAnsiTheme="minorEastAsia" w:cstheme="minorEastAsia" w:hint="eastAsia"/>
          <w:sz w:val="21"/>
          <w:szCs w:val="21"/>
        </w:rPr>
        <w:t>注：部分课程教学参照实际</w:t>
      </w:r>
    </w:p>
    <w:p w14:paraId="71554ADD" w14:textId="77777777" w:rsidR="00FD248E" w:rsidRDefault="00FD248E">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025EA28" w14:textId="77777777" w:rsidR="00FD248E"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培养方式和学制：</w:t>
      </w:r>
    </w:p>
    <w:p w14:paraId="7994F3B1" w14:textId="77777777" w:rsidR="00FD248E"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6255D48B" w14:textId="77777777" w:rsidR="00FD248E"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11C7D375" w14:textId="77777777" w:rsidR="00FD248E" w:rsidRDefault="00FD248E">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3A07E5C1" w14:textId="77777777" w:rsidR="00FD248E"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报名条件：</w:t>
      </w:r>
    </w:p>
    <w:p w14:paraId="5C05E412" w14:textId="77777777" w:rsidR="00FD248E"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690B60E7" w14:textId="77777777" w:rsidR="00FD248E"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74915A01" w14:textId="77777777" w:rsidR="00FD248E"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0736BB46" w14:textId="77777777" w:rsidR="00FD248E"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59BB16EA" w14:textId="77777777" w:rsidR="00FD248E" w:rsidRDefault="00000000">
      <w:pPr>
        <w:pStyle w:val="a5"/>
        <w:widowControl/>
        <w:adjustRightInd w:val="0"/>
        <w:snapToGrid w:val="0"/>
        <w:spacing w:beforeAutospacing="0" w:afterAutospacing="0" w:line="360" w:lineRule="auto"/>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前置专业要求：学员专业背景或所从事的工作为电类、信息与控制类、计算机或软件类专业</w:t>
      </w:r>
    </w:p>
    <w:p w14:paraId="796AE878" w14:textId="77777777" w:rsidR="00FD248E" w:rsidRDefault="00FD248E">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15653F27" w14:textId="77777777" w:rsidR="00FD248E"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报名材料：</w:t>
      </w:r>
    </w:p>
    <w:p w14:paraId="683482DF" w14:textId="77777777" w:rsidR="00FD248E" w:rsidRDefault="00000000">
      <w:pPr>
        <w:pStyle w:val="a5"/>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418D9EB2" w14:textId="77777777" w:rsidR="00FD248E" w:rsidRDefault="00000000">
      <w:pPr>
        <w:pStyle w:val="a5"/>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710DEBE7" w14:textId="77777777" w:rsidR="00FD248E"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3E1FE392" w14:textId="77777777" w:rsidR="00FD248E"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686A2C2E" w14:textId="77777777" w:rsidR="00FD248E" w:rsidRDefault="00FD248E">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4C2DE03D" w14:textId="77777777" w:rsidR="00FD248E"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收费标准：</w:t>
      </w:r>
    </w:p>
    <w:p w14:paraId="170063D9" w14:textId="77777777" w:rsidR="00FD248E"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05032D97" w14:textId="77777777" w:rsidR="00FD248E"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65F89E58" w14:textId="77777777" w:rsidR="00FD248E" w:rsidRDefault="00FD248E">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0DDF816B" w14:textId="77777777" w:rsidR="00FD248E"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获取证书：</w:t>
      </w:r>
    </w:p>
    <w:p w14:paraId="5274AB7B" w14:textId="77777777" w:rsidR="00FD248E"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60E35DB5" w14:textId="77777777" w:rsidR="00FD248E"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p w14:paraId="49848879" w14:textId="77777777" w:rsidR="00FD248E" w:rsidRDefault="00FD248E">
      <w:pPr>
        <w:rPr>
          <w:rFonts w:ascii="宋体" w:eastAsia="宋体" w:hAnsi="宋体" w:cs="宋体" w:hint="eastAsia"/>
          <w:b/>
          <w:bCs/>
          <w:color w:val="000000" w:themeColor="text1"/>
          <w:sz w:val="44"/>
          <w:szCs w:val="44"/>
        </w:rPr>
      </w:pPr>
    </w:p>
    <w:sectPr w:rsidR="00FD248E">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FCE95" w14:textId="77777777" w:rsidR="00FB66DE" w:rsidRDefault="00FB66DE">
      <w:r>
        <w:separator/>
      </w:r>
    </w:p>
  </w:endnote>
  <w:endnote w:type="continuationSeparator" w:id="0">
    <w:p w14:paraId="7B590330" w14:textId="77777777" w:rsidR="00FB66DE" w:rsidRDefault="00FB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D5C75" w14:textId="77777777" w:rsidR="00FB66DE" w:rsidRDefault="00FB66DE">
      <w:r>
        <w:separator/>
      </w:r>
    </w:p>
  </w:footnote>
  <w:footnote w:type="continuationSeparator" w:id="0">
    <w:p w14:paraId="527A637B" w14:textId="77777777" w:rsidR="00FB66DE" w:rsidRDefault="00FB6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738FA" w14:textId="77777777" w:rsidR="00FD248E" w:rsidRDefault="00000000">
    <w:pPr>
      <w:pStyle w:val="a4"/>
    </w:pPr>
    <w:r>
      <w:rPr>
        <w:noProof/>
      </w:rPr>
      <w:drawing>
        <wp:anchor distT="0" distB="0" distL="114300" distR="114300" simplePos="0" relativeHeight="251659264" behindDoc="1" locked="0" layoutInCell="1" allowOverlap="1" wp14:anchorId="029C3E99" wp14:editId="3F1A18AC">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1542204116">
    <w:abstractNumId w:val="0"/>
  </w:num>
  <w:num w:numId="2" w16cid:durableId="524101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A01791"/>
    <w:rsid w:val="00DE4E1E"/>
    <w:rsid w:val="00FB66DE"/>
    <w:rsid w:val="00FD248E"/>
    <w:rsid w:val="070F49A2"/>
    <w:rsid w:val="07277E4A"/>
    <w:rsid w:val="103E38B5"/>
    <w:rsid w:val="16321C77"/>
    <w:rsid w:val="1A1B54BE"/>
    <w:rsid w:val="1AE101ED"/>
    <w:rsid w:val="20F766A2"/>
    <w:rsid w:val="23971A56"/>
    <w:rsid w:val="2B914808"/>
    <w:rsid w:val="31C64CB7"/>
    <w:rsid w:val="362829E1"/>
    <w:rsid w:val="452F6966"/>
    <w:rsid w:val="5093612C"/>
    <w:rsid w:val="51B05393"/>
    <w:rsid w:val="570F1328"/>
    <w:rsid w:val="571254EA"/>
    <w:rsid w:val="5D1F2257"/>
    <w:rsid w:val="62893377"/>
    <w:rsid w:val="74573252"/>
    <w:rsid w:val="7AAD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94F6A5"/>
  <w15:docId w15:val="{8D2EBB23-71F1-484F-86F1-2E1B97061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autoRedefine/>
    <w:qFormat/>
    <w:pPr>
      <w:widowControl w:val="0"/>
      <w:jc w:val="both"/>
    </w:pPr>
    <w:rPr>
      <w:rFonts w:asciiTheme="minorHAnsi" w:eastAsiaTheme="minorEastAsia" w:hAnsiTheme="minorHAnsi" w:cstheme="minorBidi"/>
      <w:kern w:val="2"/>
      <w:sz w:val="21"/>
      <w:szCs w:val="24"/>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Autospacing="1"/>
      <w:jc w:val="left"/>
    </w:pPr>
    <w:rPr>
      <w:rFonts w:cs="Times New Roman"/>
      <w:kern w:val="0"/>
      <w:sz w:val="24"/>
    </w:rPr>
  </w:style>
  <w:style w:type="table" w:styleId="a6">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autoRedefine/>
    <w:qFormat/>
    <w:rPr>
      <w:b/>
    </w:rPr>
  </w:style>
  <w:style w:type="character" w:styleId="a8">
    <w:name w:val="Hyperlink"/>
    <w:basedOn w:val="a0"/>
    <w:qFormat/>
    <w:rPr>
      <w:color w:val="0000FF"/>
      <w:u w:val="single"/>
    </w:rPr>
  </w:style>
  <w:style w:type="paragraph" w:customStyle="1" w:styleId="1">
    <w:name w:val="列出段落1"/>
    <w:basedOn w:val="a"/>
    <w:autoRedefine/>
    <w:qFormat/>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CA28E0AC7FDF45C6A0C4EF1145FFA8C2_13</vt:lpwstr>
  </property>
</Properties>
</file>