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032CA">
      <w:pPr>
        <w:jc w:val="center"/>
      </w:pPr>
      <w:r>
        <w:drawing>
          <wp:anchor distT="0" distB="0" distL="114300" distR="114300" simplePos="0" relativeHeight="251660288" behindDoc="0" locked="0" layoutInCell="1" allowOverlap="1">
            <wp:simplePos x="0" y="0"/>
            <wp:positionH relativeFrom="column">
              <wp:posOffset>533400</wp:posOffset>
            </wp:positionH>
            <wp:positionV relativeFrom="paragraph">
              <wp:posOffset>28575</wp:posOffset>
            </wp:positionV>
            <wp:extent cx="4572000" cy="914400"/>
            <wp:effectExtent l="1905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cstate="print"/>
                    <a:stretch>
                      <a:fillRect/>
                    </a:stretch>
                  </pic:blipFill>
                  <pic:spPr>
                    <a:xfrm>
                      <a:off x="0" y="0"/>
                      <a:ext cx="4572000" cy="914400"/>
                    </a:xfrm>
                    <a:prstGeom prst="rect">
                      <a:avLst/>
                    </a:prstGeom>
                    <a:noFill/>
                    <a:ln w="9525">
                      <a:noFill/>
                    </a:ln>
                  </pic:spPr>
                </pic:pic>
              </a:graphicData>
            </a:graphic>
          </wp:anchor>
        </w:drawing>
      </w:r>
    </w:p>
    <w:p w14:paraId="77BBD389">
      <w:pPr>
        <w:jc w:val="center"/>
        <w:rPr>
          <w:rFonts w:asciiTheme="majorEastAsia" w:hAnsiTheme="majorEastAsia" w:eastAsiaTheme="majorEastAsia" w:cstheme="majorEastAsia"/>
          <w:b/>
          <w:bCs/>
          <w:sz w:val="36"/>
          <w:szCs w:val="36"/>
        </w:rPr>
      </w:pPr>
    </w:p>
    <w:p w14:paraId="2F3E7BAD">
      <w:pPr>
        <w:jc w:val="center"/>
        <w:rPr>
          <w:rFonts w:asciiTheme="majorEastAsia" w:hAnsiTheme="majorEastAsia" w:eastAsiaTheme="majorEastAsia" w:cstheme="majorEastAsia"/>
          <w:b/>
          <w:bCs/>
          <w:sz w:val="36"/>
          <w:szCs w:val="36"/>
        </w:rPr>
      </w:pPr>
    </w:p>
    <w:p w14:paraId="5863F377">
      <w:pPr>
        <w:jc w:val="center"/>
        <w:rPr>
          <w:rFonts w:asciiTheme="majorEastAsia" w:hAnsiTheme="majorEastAsia" w:eastAsiaTheme="majorEastAsia" w:cstheme="majorEastAsia"/>
          <w:b/>
          <w:bCs/>
          <w:color w:val="000000"/>
          <w:kern w:val="0"/>
          <w:sz w:val="36"/>
          <w:szCs w:val="36"/>
        </w:rPr>
      </w:pPr>
      <w:r>
        <w:rPr>
          <w:rFonts w:hint="eastAsia" w:asciiTheme="majorEastAsia" w:hAnsiTheme="majorEastAsia" w:eastAsiaTheme="majorEastAsia" w:cstheme="majorEastAsia"/>
          <w:b/>
          <w:bCs/>
          <w:sz w:val="36"/>
          <w:szCs w:val="36"/>
        </w:rPr>
        <w:t>对外经济贸易大学统计学院</w:t>
      </w:r>
      <w:bookmarkStart w:id="0" w:name="_Hlk67901293"/>
      <w:r>
        <w:rPr>
          <w:rFonts w:hint="eastAsia" w:asciiTheme="majorEastAsia" w:hAnsiTheme="majorEastAsia" w:eastAsiaTheme="majorEastAsia" w:cstheme="majorEastAsia"/>
          <w:b/>
          <w:bCs/>
          <w:sz w:val="36"/>
          <w:szCs w:val="36"/>
        </w:rPr>
        <w:t>统计学</w:t>
      </w:r>
      <w:bookmarkEnd w:id="0"/>
      <w:r>
        <w:rPr>
          <w:rFonts w:hint="eastAsia" w:asciiTheme="majorEastAsia" w:hAnsiTheme="majorEastAsia" w:eastAsiaTheme="majorEastAsia" w:cstheme="majorEastAsia"/>
          <w:b/>
          <w:bCs/>
          <w:sz w:val="36"/>
          <w:szCs w:val="36"/>
        </w:rPr>
        <w:t>专业在职课程   培训班招生简章</w:t>
      </w:r>
    </w:p>
    <w:p w14:paraId="195563F8"/>
    <w:p w14:paraId="37768366">
      <w:pPr>
        <w:numPr>
          <w:ilvl w:val="0"/>
          <w:numId w:val="1"/>
        </w:numPr>
        <w:rPr>
          <w:b/>
          <w:bCs/>
          <w:sz w:val="24"/>
        </w:rPr>
      </w:pPr>
      <w:r>
        <w:rPr>
          <w:rFonts w:hint="eastAsia"/>
          <w:b/>
          <w:bCs/>
          <w:sz w:val="24"/>
        </w:rPr>
        <w:t>院校及专业简介：</w:t>
      </w:r>
    </w:p>
    <w:p w14:paraId="03D8D913">
      <w:pPr>
        <w:widowControl/>
        <w:spacing w:line="360" w:lineRule="auto"/>
        <w:ind w:firstLine="525" w:firstLineChars="250"/>
        <w:jc w:val="left"/>
        <w:rPr>
          <w:rFonts w:ascii="Times New Roman" w:hAnsi="Times New Roman"/>
        </w:rPr>
      </w:pPr>
      <w:r>
        <w:rPr>
          <w:rFonts w:hint="eastAsia" w:ascii="Times New Roman" w:hAnsi="Times New Roman"/>
        </w:rPr>
        <w:t>对外经济贸易大学是教育部直属的全国重点大学，首批“211 工程”和首批“双一流”建设高校，拥有经、管、法、文、理、工六大门类。学校下设研究生院及18个学院；拥有国家级重点学科2个，博士后流动站6个，一级学科博士点7 个，一级学科硕士点11个，专业硕士学位授权点12 个，本科专业49个。对外经济贸易大学统计学科始建于1951年，是新中国最早开设外贸统计课程的高校，上世纪80年代，最早突破我国旧有的“统计学原理”框架，引进了西方统计学教学模式。统计学院拥有完整的本、硕、博三级人才培养体系。包括统计学博士，经济统计学学术型硕士、应用统计学专业学位硕士，经济统计学、金融数学两个本科专业。设有经济统计系、数据科学系、统计与数量金融系、应用数学系四个教学系，统计与决策研究所、大数据与风险管理研究中心、智慧数据研究中心、金融科技研究中心等非实体研究机构。</w:t>
      </w:r>
    </w:p>
    <w:p w14:paraId="079494E6">
      <w:pPr>
        <w:widowControl/>
        <w:spacing w:line="360" w:lineRule="auto"/>
        <w:ind w:firstLine="525" w:firstLineChars="250"/>
        <w:jc w:val="left"/>
        <w:rPr>
          <w:rFonts w:ascii="Times New Roman" w:hAnsi="Times New Roman"/>
        </w:rPr>
      </w:pPr>
      <w:r>
        <w:rPr>
          <w:rFonts w:hint="eastAsia" w:ascii="Times New Roman" w:hAnsi="Times New Roman"/>
        </w:rPr>
        <w:t>21世纪是知识信息经济的时代，统计学理论与方法的创新必将为众多领域和学科的发展体现出应有的价值，与其他学科的理论和技术应用必将带来各领域的创新和便捷普及应用。为了满足和适应政府部门、统计局、银行、保险、证券公司等金融机构和市场调研公司、互联网行业等对经济技术发展价值的提升和应用，便捷的操作使用复杂的数据处理和分析合理有效的策略，对外经贸大学特开设</w:t>
      </w:r>
      <w:r>
        <w:rPr>
          <w:rFonts w:ascii="Times New Roman" w:hAnsi="Arial"/>
          <w:color w:val="000000"/>
          <w:kern w:val="0"/>
          <w:szCs w:val="21"/>
          <w:shd w:val="clear" w:color="auto" w:fill="FFFFFF"/>
        </w:rPr>
        <w:t>统计学专业</w:t>
      </w:r>
      <w:r>
        <w:rPr>
          <w:rFonts w:hint="eastAsia" w:ascii="Times New Roman" w:hAnsi="Times New Roman"/>
        </w:rPr>
        <w:t>在职课程培训班。</w:t>
      </w:r>
      <w:r>
        <w:rPr>
          <w:rFonts w:ascii="Times New Roman" w:hAnsi="Times New Roman"/>
        </w:rPr>
        <w:t xml:space="preserve"> </w:t>
      </w:r>
    </w:p>
    <w:p w14:paraId="735502A6">
      <w:pPr>
        <w:widowControl/>
        <w:spacing w:line="360" w:lineRule="auto"/>
        <w:ind w:firstLine="525" w:firstLineChars="250"/>
        <w:jc w:val="left"/>
        <w:rPr>
          <w:rFonts w:ascii="Times New Roman" w:hAnsi="Times New Roman"/>
        </w:rPr>
      </w:pPr>
    </w:p>
    <w:p w14:paraId="43E03FCC">
      <w:pPr>
        <w:numPr>
          <w:ilvl w:val="0"/>
          <w:numId w:val="1"/>
        </w:numPr>
        <w:rPr>
          <w:b/>
          <w:bCs/>
          <w:sz w:val="24"/>
        </w:rPr>
      </w:pPr>
      <w:r>
        <w:rPr>
          <w:rFonts w:hint="eastAsia"/>
          <w:b/>
          <w:bCs/>
          <w:sz w:val="24"/>
        </w:rPr>
        <w:t>培养目标：</w:t>
      </w:r>
    </w:p>
    <w:p w14:paraId="55BA54CF">
      <w:pPr>
        <w:widowControl/>
        <w:spacing w:line="360" w:lineRule="auto"/>
        <w:ind w:firstLine="525" w:firstLineChars="250"/>
        <w:jc w:val="left"/>
        <w:rPr>
          <w:rFonts w:ascii="Times New Roman" w:hAnsi="Times New Roman"/>
          <w:color w:val="000000"/>
          <w:kern w:val="0"/>
          <w:szCs w:val="21"/>
        </w:rPr>
      </w:pPr>
      <w:r>
        <w:rPr>
          <w:rFonts w:hint="eastAsia" w:ascii="Times New Roman" w:hAnsi="Times New Roman"/>
          <w:color w:val="000000"/>
          <w:kern w:val="0"/>
          <w:szCs w:val="21"/>
        </w:rPr>
        <w:t>本专业主要通过学习和掌握统计学基础理论和知识以及统计方法和分析研究概论等，培养具有处理分析数据能力，掌握资料查询、文献检索及运用现代信息技术获取相关信息的基本方法，了解统计学、经济学的某些新发展和应用前景，能在经济、管理、金融、保险、商业、信息技术、教育、环境等社会各行业相关领域中从事数据搜集、分析和决策的创新型人才。</w:t>
      </w:r>
    </w:p>
    <w:p w14:paraId="1E301260">
      <w:pPr>
        <w:widowControl/>
        <w:spacing w:line="360" w:lineRule="auto"/>
        <w:ind w:firstLine="525" w:firstLineChars="250"/>
        <w:jc w:val="left"/>
        <w:rPr>
          <w:rFonts w:ascii="Times New Roman" w:hAnsi="Times New Roman"/>
          <w:color w:val="000000"/>
          <w:kern w:val="0"/>
          <w:szCs w:val="21"/>
        </w:rPr>
      </w:pPr>
    </w:p>
    <w:p w14:paraId="6E40C1CE">
      <w:pPr>
        <w:numPr>
          <w:ilvl w:val="0"/>
          <w:numId w:val="1"/>
        </w:numPr>
        <w:rPr>
          <w:b/>
          <w:bCs/>
          <w:sz w:val="24"/>
        </w:rPr>
      </w:pPr>
      <w:r>
        <w:rPr>
          <w:rFonts w:hint="eastAsia"/>
          <w:b/>
          <w:bCs/>
          <w:sz w:val="24"/>
        </w:rPr>
        <w:t>培养优势：</w:t>
      </w:r>
    </w:p>
    <w:p w14:paraId="0531C6C6">
      <w:pPr>
        <w:widowControl/>
        <w:spacing w:line="360" w:lineRule="auto"/>
        <w:ind w:firstLine="525" w:firstLineChars="250"/>
        <w:jc w:val="left"/>
        <w:rPr>
          <w:rFonts w:ascii="Times New Roman" w:hAnsi="Times New Roman"/>
        </w:rPr>
      </w:pPr>
      <w:r>
        <w:rPr>
          <w:rFonts w:hint="eastAsia" w:ascii="Times New Roman" w:hAnsi="Times New Roman"/>
        </w:rPr>
        <w:t>1、 免试入学：大专以上学历即可报名参加，先学习再考试，有足够充分的准备和学习课程的时间；</w:t>
      </w:r>
    </w:p>
    <w:p w14:paraId="511E4CCD">
      <w:pPr>
        <w:widowControl/>
        <w:spacing w:line="360" w:lineRule="auto"/>
        <w:ind w:firstLine="525" w:firstLineChars="250"/>
        <w:jc w:val="left"/>
        <w:rPr>
          <w:rFonts w:ascii="Times New Roman" w:hAnsi="Times New Roman"/>
        </w:rPr>
      </w:pPr>
      <w:r>
        <w:rPr>
          <w:rFonts w:hint="eastAsia" w:ascii="Times New Roman" w:hAnsi="Times New Roman"/>
        </w:rPr>
        <w:t>2、专业优势：学院紧紧围绕统计学的一级学科开展建设，依托学校强大的财经类学科优势，注重统计理论与应用的结合，重点建设统计学等二级学科的培养，为政府、金融、保险、证券、基金、信息等领域输送金融人才；</w:t>
      </w:r>
    </w:p>
    <w:p w14:paraId="5EDD92EE">
      <w:pPr>
        <w:widowControl/>
        <w:spacing w:line="360" w:lineRule="auto"/>
        <w:ind w:firstLine="525" w:firstLineChars="250"/>
        <w:jc w:val="left"/>
        <w:rPr>
          <w:rFonts w:ascii="Times New Roman" w:hAnsi="Times New Roman"/>
        </w:rPr>
      </w:pPr>
      <w:r>
        <w:rPr>
          <w:rFonts w:hint="eastAsia" w:ascii="Times New Roman" w:hAnsi="Times New Roman"/>
        </w:rPr>
        <w:t>3、师资优势：学院拥有一支爱岗敬业、勇于创新的高水平师资队伍，注重校内外师资队伍建设，聘请40余名学界、业界专家担任校外导师，为学生成长发展提供有力指导，</w:t>
      </w:r>
      <w:r>
        <w:rPr>
          <w:rFonts w:ascii="Times New Roman" w:hAnsi="Times New Roman"/>
        </w:rPr>
        <w:t>同时聘请具有丰富实战经验行业高管、管理机构资深专家等主办学员公开课学习，从政策、理论和实践三个层面为学员提供最为有效的师资保障</w:t>
      </w:r>
      <w:r>
        <w:rPr>
          <w:rFonts w:hint="eastAsia" w:ascii="Times New Roman" w:hAnsi="Times New Roman"/>
        </w:rPr>
        <w:t>；</w:t>
      </w:r>
    </w:p>
    <w:p w14:paraId="1FCE48BE">
      <w:pPr>
        <w:widowControl/>
        <w:spacing w:line="360" w:lineRule="auto"/>
        <w:ind w:firstLine="525" w:firstLineChars="250"/>
        <w:jc w:val="left"/>
        <w:rPr>
          <w:rFonts w:ascii="Times New Roman" w:hAnsi="Times New Roman"/>
        </w:rPr>
      </w:pPr>
      <w:r>
        <w:rPr>
          <w:rFonts w:hint="eastAsia" w:ascii="Times New Roman" w:hAnsi="Times New Roman"/>
        </w:rPr>
        <w:t>4、人脉优势：学院十分重视国际交流与合作。与美国、英国、新加坡等多所大学建立合作关系，定期邀请国外知名统计学者来学院进行开放性授课和高层次学术交流，介绍国外先进的教学理念和统计学主流研究方向，不断拓展师生研究领域、提升师生国际化视野；</w:t>
      </w:r>
    </w:p>
    <w:p w14:paraId="63D93B83">
      <w:pPr>
        <w:widowControl/>
        <w:spacing w:line="360" w:lineRule="auto"/>
        <w:ind w:firstLine="525" w:firstLineChars="250"/>
        <w:jc w:val="left"/>
        <w:rPr>
          <w:rFonts w:ascii="Times New Roman" w:hAnsi="Times New Roman"/>
        </w:rPr>
      </w:pPr>
      <w:r>
        <w:rPr>
          <w:rFonts w:hint="eastAsia" w:ascii="Times New Roman" w:hAnsi="Times New Roman"/>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311CB69B">
      <w:pPr>
        <w:rPr>
          <w:b/>
          <w:bCs/>
          <w:sz w:val="24"/>
        </w:rPr>
      </w:pPr>
    </w:p>
    <w:p w14:paraId="0E1EE448">
      <w:pPr>
        <w:rPr>
          <w:b/>
          <w:bCs/>
          <w:sz w:val="24"/>
        </w:rPr>
      </w:pPr>
    </w:p>
    <w:p w14:paraId="72B171F3">
      <w:pPr>
        <w:numPr>
          <w:ilvl w:val="0"/>
          <w:numId w:val="1"/>
        </w:numPr>
        <w:rPr>
          <w:b/>
          <w:bCs/>
          <w:sz w:val="24"/>
        </w:rPr>
      </w:pPr>
      <w:r>
        <w:rPr>
          <w:rFonts w:hint="eastAsia"/>
          <w:b/>
          <w:bCs/>
          <w:sz w:val="24"/>
        </w:rPr>
        <w:t>课程设置：</w:t>
      </w:r>
    </w:p>
    <w:tbl>
      <w:tblPr>
        <w:tblStyle w:val="6"/>
        <w:tblpPr w:leftFromText="180" w:rightFromText="180" w:vertAnchor="text" w:horzAnchor="page" w:tblpX="2017" w:tblpY="897"/>
        <w:tblOverlap w:val="never"/>
        <w:tblW w:w="8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118"/>
        <w:gridCol w:w="2693"/>
      </w:tblGrid>
      <w:tr w14:paraId="7FF4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046" w:type="dxa"/>
            <w:gridSpan w:val="3"/>
            <w:tcBorders>
              <w:top w:val="single" w:color="auto" w:sz="4" w:space="0"/>
              <w:left w:val="single" w:color="auto" w:sz="4" w:space="0"/>
              <w:bottom w:val="single" w:color="auto" w:sz="4" w:space="0"/>
              <w:right w:val="single" w:color="auto" w:sz="4" w:space="0"/>
            </w:tcBorders>
            <w:vAlign w:val="center"/>
          </w:tcPr>
          <w:p w14:paraId="7ABF6F60">
            <w:pPr>
              <w:widowControl/>
              <w:spacing w:line="360" w:lineRule="auto"/>
              <w:jc w:val="center"/>
              <w:rPr>
                <w:rFonts w:ascii="Times New Roman" w:hAnsi="Times New Roman"/>
                <w:b/>
                <w:bCs/>
                <w:kern w:val="0"/>
                <w:szCs w:val="21"/>
              </w:rPr>
            </w:pPr>
            <w:r>
              <w:rPr>
                <w:rFonts w:hint="eastAsia" w:ascii="Times New Roman" w:hAnsi="Times New Roman"/>
                <w:b/>
                <w:bCs/>
                <w:kern w:val="0"/>
                <w:sz w:val="28"/>
                <w:szCs w:val="28"/>
              </w:rPr>
              <w:t>统计学专业课程</w:t>
            </w:r>
          </w:p>
        </w:tc>
      </w:tr>
      <w:tr w14:paraId="7A2E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vAlign w:val="center"/>
          </w:tcPr>
          <w:p w14:paraId="37943519">
            <w:pPr>
              <w:widowControl/>
              <w:spacing w:line="360" w:lineRule="auto"/>
              <w:jc w:val="center"/>
              <w:rPr>
                <w:rFonts w:ascii="Times New Roman" w:hAnsi="Times New Roman"/>
                <w:b/>
                <w:bCs/>
                <w:kern w:val="0"/>
                <w:szCs w:val="21"/>
              </w:rPr>
            </w:pPr>
            <w:r>
              <w:rPr>
                <w:rFonts w:hint="eastAsia" w:ascii="Times New Roman" w:hAnsi="Times New Roman"/>
                <w:b/>
                <w:bCs/>
                <w:kern w:val="0"/>
                <w:szCs w:val="21"/>
              </w:rPr>
              <w:t>模块设置</w:t>
            </w:r>
          </w:p>
        </w:tc>
        <w:tc>
          <w:tcPr>
            <w:tcW w:w="3118" w:type="dxa"/>
            <w:tcBorders>
              <w:top w:val="single" w:color="auto" w:sz="4" w:space="0"/>
              <w:left w:val="single" w:color="auto" w:sz="4" w:space="0"/>
              <w:bottom w:val="single" w:color="auto" w:sz="4" w:space="0"/>
              <w:right w:val="single" w:color="auto" w:sz="4" w:space="0"/>
            </w:tcBorders>
            <w:vAlign w:val="center"/>
          </w:tcPr>
          <w:p w14:paraId="4CB88C71">
            <w:pPr>
              <w:widowControl/>
              <w:spacing w:line="360" w:lineRule="auto"/>
              <w:jc w:val="center"/>
              <w:rPr>
                <w:rFonts w:ascii="Times New Roman" w:hAnsi="Times New Roman"/>
                <w:b/>
                <w:bCs/>
                <w:kern w:val="0"/>
                <w:szCs w:val="21"/>
              </w:rPr>
            </w:pPr>
            <w:r>
              <w:rPr>
                <w:rFonts w:hint="eastAsia" w:ascii="Times New Roman" w:hAnsi="Times New Roman"/>
                <w:b/>
                <w:bCs/>
                <w:kern w:val="0"/>
                <w:szCs w:val="21"/>
              </w:rPr>
              <w:t>课程设置</w:t>
            </w:r>
          </w:p>
        </w:tc>
        <w:tc>
          <w:tcPr>
            <w:tcW w:w="2693" w:type="dxa"/>
            <w:tcBorders>
              <w:top w:val="single" w:color="auto" w:sz="4" w:space="0"/>
              <w:left w:val="single" w:color="auto" w:sz="4" w:space="0"/>
              <w:bottom w:val="single" w:color="auto" w:sz="4" w:space="0"/>
              <w:right w:val="single" w:color="auto" w:sz="4" w:space="0"/>
            </w:tcBorders>
          </w:tcPr>
          <w:p w14:paraId="41076B67">
            <w:pPr>
              <w:widowControl/>
              <w:spacing w:line="360" w:lineRule="auto"/>
              <w:jc w:val="center"/>
              <w:rPr>
                <w:rFonts w:ascii="Times New Roman" w:hAnsi="Times New Roman"/>
                <w:b/>
                <w:bCs/>
                <w:kern w:val="0"/>
                <w:szCs w:val="21"/>
              </w:rPr>
            </w:pPr>
            <w:r>
              <w:rPr>
                <w:rFonts w:hint="eastAsia" w:ascii="Times New Roman" w:hAnsi="Times New Roman"/>
                <w:b/>
                <w:bCs/>
                <w:kern w:val="0"/>
                <w:szCs w:val="21"/>
                <w:lang w:val="en-US" w:eastAsia="zh-CN"/>
              </w:rPr>
              <w:t>模块释义</w:t>
            </w:r>
          </w:p>
        </w:tc>
      </w:tr>
      <w:tr w14:paraId="1ACC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tcBorders>
              <w:top w:val="single" w:color="auto" w:sz="4" w:space="0"/>
              <w:left w:val="single" w:color="auto" w:sz="4" w:space="0"/>
              <w:bottom w:val="single" w:color="auto" w:sz="4" w:space="0"/>
              <w:right w:val="single" w:color="auto" w:sz="4" w:space="0"/>
            </w:tcBorders>
            <w:vAlign w:val="center"/>
          </w:tcPr>
          <w:p w14:paraId="3D43E581">
            <w:pPr>
              <w:widowControl/>
              <w:spacing w:line="360" w:lineRule="auto"/>
              <w:jc w:val="center"/>
              <w:rPr>
                <w:rFonts w:ascii="Times New Roman" w:hAnsi="Times New Roman"/>
                <w:b/>
                <w:bCs/>
                <w:kern w:val="0"/>
                <w:szCs w:val="21"/>
              </w:rPr>
            </w:pPr>
            <w:r>
              <w:rPr>
                <w:rFonts w:ascii="Times New Roman" w:hAnsi="Times New Roman"/>
                <w:b/>
                <w:bCs/>
                <w:kern w:val="0"/>
                <w:szCs w:val="21"/>
              </w:rPr>
              <w:t>基础课程模块</w:t>
            </w:r>
          </w:p>
        </w:tc>
        <w:tc>
          <w:tcPr>
            <w:tcW w:w="3118" w:type="dxa"/>
            <w:tcBorders>
              <w:top w:val="single" w:color="auto" w:sz="4" w:space="0"/>
              <w:left w:val="single" w:color="auto" w:sz="4" w:space="0"/>
              <w:bottom w:val="single" w:color="auto" w:sz="4" w:space="0"/>
              <w:right w:val="single" w:color="auto" w:sz="4" w:space="0"/>
            </w:tcBorders>
            <w:vAlign w:val="center"/>
          </w:tcPr>
          <w:p w14:paraId="5DC77159">
            <w:pPr>
              <w:widowControl/>
              <w:spacing w:line="360" w:lineRule="auto"/>
              <w:jc w:val="center"/>
              <w:rPr>
                <w:rFonts w:ascii="Times New Roman" w:hAnsi="Times New Roman"/>
                <w:kern w:val="0"/>
                <w:szCs w:val="21"/>
              </w:rPr>
            </w:pPr>
            <w:r>
              <w:rPr>
                <w:rFonts w:ascii="Times New Roman" w:hAnsi="Times New Roman"/>
                <w:kern w:val="0"/>
                <w:szCs w:val="21"/>
              </w:rPr>
              <w:t>现代统计学</w:t>
            </w:r>
          </w:p>
        </w:tc>
        <w:tc>
          <w:tcPr>
            <w:tcW w:w="2693" w:type="dxa"/>
            <w:vMerge w:val="restart"/>
            <w:tcBorders>
              <w:top w:val="single" w:color="auto" w:sz="4" w:space="0"/>
              <w:left w:val="single" w:color="auto" w:sz="4" w:space="0"/>
              <w:right w:val="single" w:color="auto" w:sz="4" w:space="0"/>
            </w:tcBorders>
            <w:vAlign w:val="center"/>
          </w:tcPr>
          <w:p w14:paraId="53CF3521">
            <w:pPr>
              <w:widowControl/>
              <w:spacing w:before="100" w:beforeAutospacing="1" w:after="100" w:afterAutospacing="1" w:line="360" w:lineRule="auto"/>
              <w:jc w:val="center"/>
              <w:rPr>
                <w:rFonts w:ascii="Times New Roman" w:hAnsi="Times New Roman"/>
                <w:kern w:val="0"/>
                <w:sz w:val="20"/>
                <w:szCs w:val="20"/>
              </w:rPr>
            </w:pPr>
            <w:r>
              <w:rPr>
                <w:rFonts w:ascii="Times New Roman" w:hAnsi="Times New Roman"/>
                <w:kern w:val="0"/>
                <w:szCs w:val="21"/>
              </w:rPr>
              <w:t>帮助学员熟悉统计学科基础，为大数据的理论学习与应用建立系统的基础</w:t>
            </w:r>
          </w:p>
        </w:tc>
      </w:tr>
      <w:tr w14:paraId="085B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tcBorders>
              <w:top w:val="single" w:color="auto" w:sz="4" w:space="0"/>
              <w:left w:val="single" w:color="auto" w:sz="4" w:space="0"/>
              <w:bottom w:val="single" w:color="auto" w:sz="4" w:space="0"/>
              <w:right w:val="single" w:color="auto" w:sz="4" w:space="0"/>
            </w:tcBorders>
            <w:vAlign w:val="center"/>
          </w:tcPr>
          <w:p w14:paraId="63C5EDD8">
            <w:pPr>
              <w:widowControl/>
              <w:spacing w:line="360" w:lineRule="auto"/>
              <w:jc w:val="center"/>
              <w:rPr>
                <w:rFonts w:ascii="Times New Roman" w:hAnsi="Times New Roman"/>
                <w:b/>
                <w:bCs/>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5896A094">
            <w:pPr>
              <w:widowControl/>
              <w:spacing w:line="360" w:lineRule="auto"/>
              <w:jc w:val="center"/>
              <w:rPr>
                <w:rFonts w:ascii="Times New Roman" w:hAnsi="Times New Roman"/>
                <w:kern w:val="0"/>
                <w:szCs w:val="21"/>
              </w:rPr>
            </w:pPr>
            <w:r>
              <w:rPr>
                <w:rFonts w:ascii="Times New Roman" w:hAnsi="Times New Roman"/>
                <w:kern w:val="0"/>
                <w:szCs w:val="21"/>
              </w:rPr>
              <w:t>应用回归分析</w:t>
            </w:r>
          </w:p>
        </w:tc>
        <w:tc>
          <w:tcPr>
            <w:tcW w:w="2693" w:type="dxa"/>
            <w:vMerge w:val="continue"/>
            <w:tcBorders>
              <w:left w:val="single" w:color="auto" w:sz="4" w:space="0"/>
              <w:right w:val="single" w:color="auto" w:sz="4" w:space="0"/>
            </w:tcBorders>
          </w:tcPr>
          <w:p w14:paraId="7AC79897">
            <w:pPr>
              <w:widowControl/>
              <w:spacing w:line="360" w:lineRule="auto"/>
              <w:jc w:val="center"/>
              <w:rPr>
                <w:rFonts w:ascii="Times New Roman" w:hAnsi="Times New Roman"/>
                <w:color w:val="464646"/>
                <w:kern w:val="0"/>
                <w:sz w:val="20"/>
                <w:szCs w:val="20"/>
              </w:rPr>
            </w:pPr>
          </w:p>
        </w:tc>
      </w:tr>
      <w:tr w14:paraId="21F9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tcBorders>
              <w:top w:val="single" w:color="auto" w:sz="4" w:space="0"/>
              <w:left w:val="single" w:color="auto" w:sz="4" w:space="0"/>
              <w:bottom w:val="single" w:color="auto" w:sz="4" w:space="0"/>
              <w:right w:val="single" w:color="auto" w:sz="4" w:space="0"/>
            </w:tcBorders>
            <w:vAlign w:val="center"/>
          </w:tcPr>
          <w:p w14:paraId="60B02E19">
            <w:pPr>
              <w:widowControl/>
              <w:spacing w:line="360" w:lineRule="auto"/>
              <w:jc w:val="center"/>
              <w:rPr>
                <w:rFonts w:ascii="Times New Roman" w:hAnsi="Times New Roman"/>
                <w:b/>
                <w:bCs/>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5BBADBEB">
            <w:pPr>
              <w:widowControl/>
              <w:spacing w:line="360" w:lineRule="auto"/>
              <w:jc w:val="center"/>
              <w:rPr>
                <w:rFonts w:ascii="Times New Roman" w:hAnsi="Times New Roman"/>
                <w:kern w:val="0"/>
                <w:szCs w:val="21"/>
              </w:rPr>
            </w:pPr>
            <w:r>
              <w:rPr>
                <w:rFonts w:ascii="Times New Roman" w:hAnsi="Times New Roman"/>
                <w:kern w:val="0"/>
                <w:szCs w:val="21"/>
              </w:rPr>
              <w:t>大数据理论与实务</w:t>
            </w:r>
          </w:p>
        </w:tc>
        <w:tc>
          <w:tcPr>
            <w:tcW w:w="2693" w:type="dxa"/>
            <w:vMerge w:val="continue"/>
            <w:tcBorders>
              <w:left w:val="single" w:color="auto" w:sz="4" w:space="0"/>
              <w:bottom w:val="single" w:color="auto" w:sz="4" w:space="0"/>
              <w:right w:val="single" w:color="auto" w:sz="4" w:space="0"/>
            </w:tcBorders>
          </w:tcPr>
          <w:p w14:paraId="75C7D0DA">
            <w:pPr>
              <w:widowControl/>
              <w:spacing w:line="360" w:lineRule="auto"/>
              <w:jc w:val="center"/>
              <w:rPr>
                <w:rFonts w:ascii="Times New Roman" w:hAnsi="Times New Roman"/>
                <w:color w:val="464646"/>
                <w:kern w:val="0"/>
                <w:sz w:val="20"/>
                <w:szCs w:val="20"/>
              </w:rPr>
            </w:pPr>
          </w:p>
        </w:tc>
      </w:tr>
      <w:tr w14:paraId="5F25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tcBorders>
              <w:top w:val="single" w:color="auto" w:sz="4" w:space="0"/>
              <w:left w:val="single" w:color="auto" w:sz="4" w:space="0"/>
              <w:right w:val="single" w:color="auto" w:sz="4" w:space="0"/>
            </w:tcBorders>
            <w:vAlign w:val="center"/>
          </w:tcPr>
          <w:p w14:paraId="1B70005F">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b/>
                <w:bCs/>
                <w:kern w:val="0"/>
                <w:szCs w:val="21"/>
              </w:rPr>
              <w:t>专业</w:t>
            </w:r>
            <w:r>
              <w:rPr>
                <w:rFonts w:hint="eastAsia" w:ascii="Times New Roman" w:hAnsi="Times New Roman"/>
                <w:b/>
                <w:bCs/>
                <w:kern w:val="0"/>
                <w:szCs w:val="21"/>
                <w:lang w:val="en-US" w:eastAsia="zh-CN"/>
              </w:rPr>
              <w:t>核心</w:t>
            </w:r>
            <w:r>
              <w:rPr>
                <w:rFonts w:ascii="Times New Roman" w:hAnsi="Times New Roman"/>
                <w:b/>
                <w:bCs/>
                <w:kern w:val="0"/>
                <w:szCs w:val="21"/>
              </w:rPr>
              <w:t>课程模块</w:t>
            </w:r>
          </w:p>
        </w:tc>
        <w:tc>
          <w:tcPr>
            <w:tcW w:w="3118" w:type="dxa"/>
            <w:tcBorders>
              <w:top w:val="single" w:color="auto" w:sz="4" w:space="0"/>
              <w:left w:val="single" w:color="auto" w:sz="4" w:space="0"/>
              <w:bottom w:val="single" w:color="auto" w:sz="4" w:space="0"/>
              <w:right w:val="single" w:color="auto" w:sz="4" w:space="0"/>
            </w:tcBorders>
            <w:vAlign w:val="center"/>
          </w:tcPr>
          <w:p w14:paraId="1FDD4C72">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数据分析软件</w:t>
            </w:r>
          </w:p>
        </w:tc>
        <w:tc>
          <w:tcPr>
            <w:tcW w:w="2693" w:type="dxa"/>
            <w:vMerge w:val="restart"/>
            <w:tcBorders>
              <w:top w:val="single" w:color="auto" w:sz="4" w:space="0"/>
              <w:left w:val="single" w:color="auto" w:sz="4" w:space="0"/>
              <w:right w:val="single" w:color="auto" w:sz="4" w:space="0"/>
            </w:tcBorders>
          </w:tcPr>
          <w:p w14:paraId="68354EAC">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 w:val="18"/>
                <w:szCs w:val="18"/>
              </w:rPr>
              <w:t>介绍大数据在投资、管理等核心应用，围绕大数据的核心要素、技术手段，通过大数据来构建更为全面的商业智慧和具体应用，经济活动分析及统计分析方法</w:t>
            </w:r>
          </w:p>
        </w:tc>
      </w:tr>
      <w:tr w14:paraId="4C4C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tcBorders>
              <w:left w:val="single" w:color="auto" w:sz="4" w:space="0"/>
              <w:right w:val="single" w:color="auto" w:sz="4" w:space="0"/>
            </w:tcBorders>
            <w:vAlign w:val="center"/>
          </w:tcPr>
          <w:p w14:paraId="10A6355E">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275EEE83">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人工智能</w:t>
            </w:r>
          </w:p>
        </w:tc>
        <w:tc>
          <w:tcPr>
            <w:tcW w:w="2693" w:type="dxa"/>
            <w:vMerge w:val="continue"/>
            <w:tcBorders>
              <w:left w:val="single" w:color="auto" w:sz="4" w:space="0"/>
              <w:right w:val="single" w:color="auto" w:sz="4" w:space="0"/>
            </w:tcBorders>
          </w:tcPr>
          <w:p w14:paraId="75DC1DEE">
            <w:pPr>
              <w:widowControl/>
              <w:spacing w:before="100" w:beforeAutospacing="1" w:after="100" w:afterAutospacing="1" w:line="360" w:lineRule="auto"/>
              <w:jc w:val="center"/>
              <w:rPr>
                <w:rFonts w:ascii="Times New Roman" w:hAnsi="Times New Roman"/>
                <w:kern w:val="0"/>
                <w:szCs w:val="21"/>
              </w:rPr>
            </w:pPr>
          </w:p>
        </w:tc>
      </w:tr>
      <w:tr w14:paraId="4827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235" w:type="dxa"/>
            <w:vMerge w:val="continue"/>
            <w:tcBorders>
              <w:left w:val="single" w:color="auto" w:sz="4" w:space="0"/>
              <w:right w:val="single" w:color="auto" w:sz="4" w:space="0"/>
            </w:tcBorders>
            <w:vAlign w:val="center"/>
          </w:tcPr>
          <w:p w14:paraId="612160A9">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5129125A">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大数据营销</w:t>
            </w:r>
          </w:p>
        </w:tc>
        <w:tc>
          <w:tcPr>
            <w:tcW w:w="2693" w:type="dxa"/>
            <w:vMerge w:val="continue"/>
            <w:tcBorders>
              <w:left w:val="single" w:color="auto" w:sz="4" w:space="0"/>
              <w:right w:val="single" w:color="auto" w:sz="4" w:space="0"/>
            </w:tcBorders>
          </w:tcPr>
          <w:p w14:paraId="2A8FC337">
            <w:pPr>
              <w:widowControl/>
              <w:spacing w:before="100" w:beforeAutospacing="1" w:after="100" w:afterAutospacing="1" w:line="360" w:lineRule="auto"/>
              <w:jc w:val="center"/>
              <w:rPr>
                <w:rFonts w:ascii="Times New Roman" w:hAnsi="Times New Roman"/>
                <w:kern w:val="0"/>
                <w:szCs w:val="21"/>
              </w:rPr>
            </w:pPr>
          </w:p>
        </w:tc>
      </w:tr>
      <w:tr w14:paraId="1F3F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235" w:type="dxa"/>
            <w:vMerge w:val="continue"/>
            <w:tcBorders>
              <w:left w:val="single" w:color="auto" w:sz="4" w:space="0"/>
              <w:bottom w:val="single" w:color="auto" w:sz="4" w:space="0"/>
              <w:right w:val="single" w:color="auto" w:sz="4" w:space="0"/>
            </w:tcBorders>
            <w:vAlign w:val="center"/>
          </w:tcPr>
          <w:p w14:paraId="1F259200">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65AED963">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大数据管理</w:t>
            </w:r>
          </w:p>
        </w:tc>
        <w:tc>
          <w:tcPr>
            <w:tcW w:w="2693" w:type="dxa"/>
            <w:vMerge w:val="continue"/>
            <w:tcBorders>
              <w:left w:val="single" w:color="auto" w:sz="4" w:space="0"/>
              <w:bottom w:val="single" w:color="auto" w:sz="4" w:space="0"/>
              <w:right w:val="single" w:color="auto" w:sz="4" w:space="0"/>
            </w:tcBorders>
          </w:tcPr>
          <w:p w14:paraId="6B016429">
            <w:pPr>
              <w:widowControl/>
              <w:spacing w:before="100" w:beforeAutospacing="1" w:after="100" w:afterAutospacing="1" w:line="360" w:lineRule="auto"/>
              <w:jc w:val="center"/>
              <w:rPr>
                <w:rFonts w:ascii="Times New Roman" w:hAnsi="Times New Roman"/>
                <w:kern w:val="0"/>
                <w:szCs w:val="21"/>
              </w:rPr>
            </w:pPr>
          </w:p>
        </w:tc>
      </w:tr>
      <w:tr w14:paraId="0B8E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tcBorders>
              <w:top w:val="single" w:color="auto" w:sz="4" w:space="0"/>
              <w:left w:val="single" w:color="auto" w:sz="4" w:space="0"/>
              <w:bottom w:val="single" w:color="auto" w:sz="4" w:space="0"/>
              <w:right w:val="single" w:color="auto" w:sz="4" w:space="0"/>
            </w:tcBorders>
            <w:vAlign w:val="center"/>
          </w:tcPr>
          <w:p w14:paraId="6AD60CFB">
            <w:pPr>
              <w:widowControl/>
              <w:spacing w:before="100" w:beforeAutospacing="1" w:after="100" w:afterAutospacing="1" w:line="360" w:lineRule="auto"/>
              <w:jc w:val="center"/>
              <w:rPr>
                <w:rFonts w:ascii="Times New Roman" w:hAnsi="Times New Roman"/>
                <w:kern w:val="0"/>
                <w:szCs w:val="21"/>
              </w:rPr>
            </w:pPr>
            <w:r>
              <w:rPr>
                <w:rFonts w:hint="eastAsia" w:ascii="Times New Roman" w:hAnsi="Times New Roman"/>
                <w:b/>
                <w:bCs/>
                <w:kern w:val="0"/>
                <w:szCs w:val="21"/>
                <w:lang w:val="en-US" w:eastAsia="zh-CN"/>
              </w:rPr>
              <w:t>经济金融</w:t>
            </w:r>
            <w:r>
              <w:rPr>
                <w:rFonts w:ascii="Times New Roman" w:hAnsi="Times New Roman"/>
                <w:b/>
                <w:bCs/>
                <w:kern w:val="0"/>
                <w:szCs w:val="21"/>
              </w:rPr>
              <w:t>模块</w:t>
            </w:r>
          </w:p>
        </w:tc>
        <w:tc>
          <w:tcPr>
            <w:tcW w:w="3118" w:type="dxa"/>
            <w:tcBorders>
              <w:top w:val="single" w:color="auto" w:sz="4" w:space="0"/>
              <w:left w:val="single" w:color="auto" w:sz="4" w:space="0"/>
              <w:bottom w:val="single" w:color="auto" w:sz="4" w:space="0"/>
              <w:right w:val="single" w:color="auto" w:sz="4" w:space="0"/>
            </w:tcBorders>
            <w:vAlign w:val="center"/>
          </w:tcPr>
          <w:p w14:paraId="530648EE">
            <w:pPr>
              <w:widowControl/>
              <w:spacing w:before="100" w:beforeAutospacing="1" w:after="100" w:afterAutospacing="1" w:line="360" w:lineRule="auto"/>
              <w:jc w:val="center"/>
              <w:rPr>
                <w:rFonts w:hint="default" w:ascii="Times New Roman" w:hAnsi="Times New Roman" w:eastAsiaTheme="minorEastAsia"/>
                <w:kern w:val="0"/>
                <w:szCs w:val="21"/>
                <w:lang w:val="en-US" w:eastAsia="zh-CN"/>
              </w:rPr>
            </w:pPr>
            <w:r>
              <w:rPr>
                <w:rFonts w:hint="eastAsia" w:ascii="Times New Roman" w:hAnsi="Times New Roman"/>
                <w:kern w:val="0"/>
                <w:szCs w:val="21"/>
                <w:lang w:val="en-US" w:eastAsia="zh-CN"/>
              </w:rPr>
              <w:t>宏观经济与产业分析</w:t>
            </w:r>
          </w:p>
        </w:tc>
        <w:tc>
          <w:tcPr>
            <w:tcW w:w="2693" w:type="dxa"/>
            <w:vMerge w:val="restart"/>
            <w:tcBorders>
              <w:top w:val="single" w:color="auto" w:sz="4" w:space="0"/>
              <w:left w:val="single" w:color="auto" w:sz="4" w:space="0"/>
              <w:right w:val="single" w:color="auto" w:sz="4" w:space="0"/>
            </w:tcBorders>
            <w:vAlign w:val="center"/>
          </w:tcPr>
          <w:p w14:paraId="132D0E15">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以案例分析为主，通过案例分析及综合运用，提升综合管理能力</w:t>
            </w:r>
          </w:p>
        </w:tc>
      </w:tr>
      <w:tr w14:paraId="35C9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tcBorders>
              <w:top w:val="single" w:color="auto" w:sz="4" w:space="0"/>
              <w:left w:val="single" w:color="auto" w:sz="4" w:space="0"/>
              <w:bottom w:val="single" w:color="auto" w:sz="4" w:space="0"/>
              <w:right w:val="single" w:color="auto" w:sz="4" w:space="0"/>
            </w:tcBorders>
            <w:vAlign w:val="center"/>
          </w:tcPr>
          <w:p w14:paraId="5F7EE65F">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7411CFF5">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金融市场实务</w:t>
            </w:r>
          </w:p>
        </w:tc>
        <w:tc>
          <w:tcPr>
            <w:tcW w:w="2693" w:type="dxa"/>
            <w:vMerge w:val="continue"/>
            <w:tcBorders>
              <w:left w:val="single" w:color="auto" w:sz="4" w:space="0"/>
              <w:right w:val="single" w:color="auto" w:sz="4" w:space="0"/>
            </w:tcBorders>
          </w:tcPr>
          <w:p w14:paraId="321D50BD">
            <w:pPr>
              <w:widowControl/>
              <w:spacing w:before="100" w:beforeAutospacing="1" w:after="100" w:afterAutospacing="1" w:line="360" w:lineRule="auto"/>
              <w:jc w:val="center"/>
              <w:rPr>
                <w:rFonts w:ascii="Times New Roman" w:hAnsi="Times New Roman"/>
                <w:kern w:val="0"/>
                <w:szCs w:val="21"/>
              </w:rPr>
            </w:pPr>
          </w:p>
        </w:tc>
      </w:tr>
      <w:tr w14:paraId="0DB2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tcBorders>
              <w:top w:val="single" w:color="auto" w:sz="4" w:space="0"/>
              <w:left w:val="single" w:color="auto" w:sz="4" w:space="0"/>
              <w:bottom w:val="single" w:color="auto" w:sz="4" w:space="0"/>
              <w:right w:val="single" w:color="auto" w:sz="4" w:space="0"/>
            </w:tcBorders>
            <w:vAlign w:val="center"/>
          </w:tcPr>
          <w:p w14:paraId="01855CB9">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377440CF">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金融风险管理</w:t>
            </w:r>
          </w:p>
        </w:tc>
        <w:tc>
          <w:tcPr>
            <w:tcW w:w="2693" w:type="dxa"/>
            <w:vMerge w:val="continue"/>
            <w:tcBorders>
              <w:left w:val="single" w:color="auto" w:sz="4" w:space="0"/>
              <w:right w:val="single" w:color="auto" w:sz="4" w:space="0"/>
            </w:tcBorders>
          </w:tcPr>
          <w:p w14:paraId="4281F3FD">
            <w:pPr>
              <w:widowControl/>
              <w:spacing w:before="100" w:beforeAutospacing="1" w:after="100" w:afterAutospacing="1" w:line="360" w:lineRule="auto"/>
              <w:jc w:val="center"/>
              <w:rPr>
                <w:rFonts w:ascii="Times New Roman" w:hAnsi="Times New Roman"/>
                <w:kern w:val="0"/>
                <w:szCs w:val="21"/>
              </w:rPr>
            </w:pPr>
          </w:p>
        </w:tc>
      </w:tr>
      <w:tr w14:paraId="3629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2235" w:type="dxa"/>
            <w:vMerge w:val="continue"/>
            <w:tcBorders>
              <w:top w:val="single" w:color="auto" w:sz="4" w:space="0"/>
              <w:left w:val="single" w:color="auto" w:sz="4" w:space="0"/>
              <w:bottom w:val="single" w:color="auto" w:sz="4" w:space="0"/>
              <w:right w:val="single" w:color="auto" w:sz="4" w:space="0"/>
            </w:tcBorders>
            <w:vAlign w:val="center"/>
          </w:tcPr>
          <w:p w14:paraId="578C320F">
            <w:pPr>
              <w:widowControl/>
              <w:spacing w:before="100" w:beforeAutospacing="1" w:after="100" w:afterAutospacing="1" w:line="360" w:lineRule="auto"/>
              <w:jc w:val="center"/>
              <w:rPr>
                <w:rFonts w:ascii="Times New Roman" w:hAnsi="Times New Roman"/>
                <w:kern w:val="0"/>
                <w:szCs w:val="21"/>
              </w:rPr>
            </w:pPr>
          </w:p>
        </w:tc>
        <w:tc>
          <w:tcPr>
            <w:tcW w:w="3118" w:type="dxa"/>
            <w:tcBorders>
              <w:top w:val="single" w:color="auto" w:sz="4" w:space="0"/>
              <w:left w:val="single" w:color="auto" w:sz="4" w:space="0"/>
              <w:bottom w:val="single" w:color="auto" w:sz="4" w:space="0"/>
              <w:right w:val="single" w:color="auto" w:sz="4" w:space="0"/>
            </w:tcBorders>
            <w:vAlign w:val="center"/>
          </w:tcPr>
          <w:p w14:paraId="3805E1DA">
            <w:pPr>
              <w:widowControl/>
              <w:spacing w:before="100" w:beforeAutospacing="1" w:after="100" w:afterAutospacing="1" w:line="360" w:lineRule="auto"/>
              <w:jc w:val="center"/>
              <w:rPr>
                <w:rFonts w:hint="default" w:ascii="Times New Roman" w:hAnsi="Times New Roman" w:eastAsiaTheme="minorEastAsia"/>
                <w:kern w:val="0"/>
                <w:szCs w:val="21"/>
                <w:lang w:val="en-US" w:eastAsia="zh-CN"/>
              </w:rPr>
            </w:pPr>
            <w:r>
              <w:rPr>
                <w:rFonts w:hint="eastAsia" w:ascii="Times New Roman" w:hAnsi="Times New Roman"/>
                <w:kern w:val="0"/>
                <w:szCs w:val="21"/>
                <w:lang w:val="en-US" w:eastAsia="zh-CN"/>
              </w:rPr>
              <w:t>公司金融</w:t>
            </w:r>
          </w:p>
        </w:tc>
        <w:tc>
          <w:tcPr>
            <w:tcW w:w="2693" w:type="dxa"/>
            <w:vMerge w:val="continue"/>
            <w:tcBorders>
              <w:left w:val="single" w:color="auto" w:sz="4" w:space="0"/>
              <w:right w:val="single" w:color="auto" w:sz="4" w:space="0"/>
            </w:tcBorders>
          </w:tcPr>
          <w:p w14:paraId="0EAFAED7">
            <w:pPr>
              <w:widowControl/>
              <w:spacing w:before="100" w:beforeAutospacing="1" w:after="100" w:afterAutospacing="1" w:line="360" w:lineRule="auto"/>
              <w:jc w:val="center"/>
              <w:rPr>
                <w:rFonts w:ascii="Times New Roman" w:hAnsi="Times New Roman"/>
                <w:kern w:val="0"/>
                <w:szCs w:val="21"/>
              </w:rPr>
            </w:pPr>
          </w:p>
        </w:tc>
      </w:tr>
      <w:tr w14:paraId="5D6B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235" w:type="dxa"/>
            <w:vMerge w:val="restart"/>
            <w:tcBorders>
              <w:top w:val="single" w:color="auto" w:sz="4" w:space="0"/>
              <w:left w:val="single" w:color="auto" w:sz="4" w:space="0"/>
              <w:right w:val="single" w:color="auto" w:sz="4" w:space="0"/>
            </w:tcBorders>
            <w:vAlign w:val="center"/>
          </w:tcPr>
          <w:p w14:paraId="39B4AD5C">
            <w:pPr>
              <w:widowControl/>
              <w:spacing w:before="100" w:beforeAutospacing="1" w:after="100" w:afterAutospacing="1" w:line="360" w:lineRule="auto"/>
              <w:jc w:val="center"/>
              <w:rPr>
                <w:rFonts w:ascii="Times New Roman" w:hAnsi="Times New Roman"/>
                <w:kern w:val="0"/>
                <w:szCs w:val="21"/>
              </w:rPr>
            </w:pPr>
            <w:r>
              <w:rPr>
                <w:rFonts w:hint="eastAsia" w:ascii="Times New Roman" w:hAnsi="Times New Roman"/>
                <w:b/>
                <w:bCs/>
                <w:kern w:val="0"/>
                <w:szCs w:val="21"/>
                <w:lang w:val="en-US" w:eastAsia="zh-CN"/>
              </w:rPr>
              <w:t>财务与管理</w:t>
            </w:r>
            <w:r>
              <w:rPr>
                <w:rFonts w:ascii="Times New Roman" w:hAnsi="Times New Roman"/>
                <w:b/>
                <w:bCs/>
                <w:kern w:val="0"/>
                <w:szCs w:val="21"/>
              </w:rPr>
              <w:t>模块</w:t>
            </w:r>
          </w:p>
        </w:tc>
        <w:tc>
          <w:tcPr>
            <w:tcW w:w="3118" w:type="dxa"/>
            <w:tcBorders>
              <w:top w:val="single" w:color="auto" w:sz="4" w:space="0"/>
              <w:left w:val="single" w:color="auto" w:sz="4" w:space="0"/>
              <w:bottom w:val="single" w:color="auto" w:sz="4" w:space="0"/>
              <w:right w:val="single" w:color="auto" w:sz="4" w:space="0"/>
            </w:tcBorders>
            <w:vAlign w:val="center"/>
          </w:tcPr>
          <w:p w14:paraId="799521AA">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财务报表分析</w:t>
            </w:r>
          </w:p>
        </w:tc>
        <w:tc>
          <w:tcPr>
            <w:tcW w:w="2693" w:type="dxa"/>
            <w:vMerge w:val="continue"/>
            <w:tcBorders>
              <w:left w:val="single" w:color="auto" w:sz="4" w:space="0"/>
              <w:right w:val="single" w:color="auto" w:sz="4" w:space="0"/>
            </w:tcBorders>
          </w:tcPr>
          <w:p w14:paraId="74EA2B3D">
            <w:pPr>
              <w:widowControl/>
              <w:spacing w:before="100" w:beforeAutospacing="1" w:after="100" w:afterAutospacing="1" w:line="360" w:lineRule="auto"/>
              <w:jc w:val="center"/>
              <w:rPr>
                <w:rFonts w:ascii="Times New Roman" w:hAnsi="Times New Roman"/>
                <w:kern w:val="0"/>
                <w:szCs w:val="21"/>
              </w:rPr>
            </w:pPr>
          </w:p>
        </w:tc>
      </w:tr>
      <w:tr w14:paraId="4044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235" w:type="dxa"/>
            <w:vMerge w:val="continue"/>
            <w:tcBorders>
              <w:left w:val="single" w:color="auto" w:sz="4" w:space="0"/>
              <w:right w:val="single" w:color="auto" w:sz="4" w:space="0"/>
            </w:tcBorders>
            <w:vAlign w:val="center"/>
          </w:tcPr>
          <w:p w14:paraId="4691782E">
            <w:pPr>
              <w:widowControl/>
              <w:spacing w:before="100" w:beforeAutospacing="1" w:after="100" w:afterAutospacing="1" w:line="360" w:lineRule="auto"/>
              <w:jc w:val="center"/>
              <w:rPr>
                <w:rFonts w:hint="eastAsia" w:ascii="Times New Roman" w:hAnsi="Times New Roman"/>
                <w:kern w:val="0"/>
                <w:szCs w:val="21"/>
                <w:lang w:val="en-US" w:eastAsia="zh-CN"/>
              </w:rPr>
            </w:pPr>
          </w:p>
        </w:tc>
        <w:tc>
          <w:tcPr>
            <w:tcW w:w="3118" w:type="dxa"/>
            <w:tcBorders>
              <w:top w:val="single" w:color="auto" w:sz="4" w:space="0"/>
              <w:left w:val="single" w:color="auto" w:sz="4" w:space="0"/>
              <w:bottom w:val="single" w:color="auto" w:sz="4" w:space="0"/>
              <w:right w:val="single" w:color="auto" w:sz="4" w:space="0"/>
            </w:tcBorders>
            <w:vAlign w:val="center"/>
          </w:tcPr>
          <w:p w14:paraId="7CE049D1">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现代管理学</w:t>
            </w:r>
          </w:p>
        </w:tc>
        <w:tc>
          <w:tcPr>
            <w:tcW w:w="2693" w:type="dxa"/>
            <w:vMerge w:val="continue"/>
            <w:tcBorders>
              <w:left w:val="single" w:color="auto" w:sz="4" w:space="0"/>
              <w:right w:val="single" w:color="auto" w:sz="4" w:space="0"/>
            </w:tcBorders>
          </w:tcPr>
          <w:p w14:paraId="73464CA0">
            <w:pPr>
              <w:widowControl/>
              <w:spacing w:before="100" w:beforeAutospacing="1" w:after="100" w:afterAutospacing="1" w:line="360" w:lineRule="auto"/>
              <w:jc w:val="center"/>
              <w:rPr>
                <w:rFonts w:ascii="Times New Roman" w:hAnsi="Times New Roman"/>
                <w:kern w:val="0"/>
                <w:szCs w:val="21"/>
              </w:rPr>
            </w:pPr>
          </w:p>
        </w:tc>
      </w:tr>
      <w:tr w14:paraId="3A4F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235" w:type="dxa"/>
            <w:vMerge w:val="continue"/>
            <w:tcBorders>
              <w:left w:val="single" w:color="auto" w:sz="4" w:space="0"/>
              <w:bottom w:val="single" w:color="auto" w:sz="4" w:space="0"/>
              <w:right w:val="single" w:color="auto" w:sz="4" w:space="0"/>
            </w:tcBorders>
            <w:vAlign w:val="center"/>
          </w:tcPr>
          <w:p w14:paraId="116E6A07">
            <w:pPr>
              <w:widowControl/>
              <w:spacing w:before="100" w:beforeAutospacing="1" w:after="100" w:afterAutospacing="1" w:line="360" w:lineRule="auto"/>
              <w:jc w:val="center"/>
              <w:rPr>
                <w:rFonts w:hint="eastAsia" w:ascii="Times New Roman" w:hAnsi="Times New Roman"/>
                <w:kern w:val="0"/>
                <w:szCs w:val="21"/>
                <w:lang w:val="en-US" w:eastAsia="zh-CN"/>
              </w:rPr>
            </w:pPr>
          </w:p>
        </w:tc>
        <w:tc>
          <w:tcPr>
            <w:tcW w:w="3118" w:type="dxa"/>
            <w:tcBorders>
              <w:top w:val="single" w:color="auto" w:sz="4" w:space="0"/>
              <w:left w:val="single" w:color="auto" w:sz="4" w:space="0"/>
              <w:bottom w:val="single" w:color="auto" w:sz="4" w:space="0"/>
              <w:right w:val="single" w:color="auto" w:sz="4" w:space="0"/>
            </w:tcBorders>
            <w:vAlign w:val="center"/>
          </w:tcPr>
          <w:p w14:paraId="69E50AF9">
            <w:pPr>
              <w:widowControl/>
              <w:spacing w:before="100" w:beforeAutospacing="1" w:after="100" w:afterAutospacing="1" w:line="360" w:lineRule="auto"/>
              <w:jc w:val="center"/>
              <w:rPr>
                <w:rFonts w:ascii="Times New Roman" w:hAnsi="Times New Roman"/>
                <w:kern w:val="0"/>
                <w:szCs w:val="21"/>
              </w:rPr>
            </w:pPr>
            <w:r>
              <w:rPr>
                <w:rFonts w:ascii="Times New Roman" w:hAnsi="Times New Roman"/>
                <w:kern w:val="0"/>
                <w:szCs w:val="21"/>
              </w:rPr>
              <w:t>税收筹划</w:t>
            </w:r>
          </w:p>
        </w:tc>
        <w:tc>
          <w:tcPr>
            <w:tcW w:w="2693" w:type="dxa"/>
            <w:vMerge w:val="continue"/>
            <w:tcBorders>
              <w:left w:val="single" w:color="auto" w:sz="4" w:space="0"/>
              <w:bottom w:val="single" w:color="auto" w:sz="4" w:space="0"/>
              <w:right w:val="single" w:color="auto" w:sz="4" w:space="0"/>
            </w:tcBorders>
          </w:tcPr>
          <w:p w14:paraId="356DF0F7">
            <w:pPr>
              <w:widowControl/>
              <w:spacing w:before="100" w:beforeAutospacing="1" w:after="100" w:afterAutospacing="1" w:line="360" w:lineRule="auto"/>
              <w:jc w:val="center"/>
              <w:rPr>
                <w:rFonts w:ascii="Times New Roman" w:hAnsi="Times New Roman"/>
                <w:kern w:val="0"/>
                <w:szCs w:val="21"/>
              </w:rPr>
            </w:pPr>
          </w:p>
        </w:tc>
      </w:tr>
    </w:tbl>
    <w:p w14:paraId="2CBB1972">
      <w:pPr>
        <w:rPr>
          <w:b/>
          <w:bCs/>
          <w:sz w:val="24"/>
        </w:rPr>
      </w:pPr>
    </w:p>
    <w:p w14:paraId="1F930C24">
      <w:pPr>
        <w:pStyle w:val="5"/>
        <w:snapToGrid w:val="0"/>
        <w:spacing w:line="360" w:lineRule="auto"/>
        <w:ind w:firstLine="2650" w:firstLineChars="1100"/>
        <w:contextualSpacing/>
        <w:rPr>
          <w:rFonts w:asciiTheme="minorEastAsia" w:hAnsiTheme="minorEastAsia"/>
          <w:sz w:val="21"/>
          <w:szCs w:val="21"/>
        </w:rPr>
      </w:pPr>
      <w:r>
        <w:rPr>
          <w:rFonts w:hint="eastAsia"/>
          <w:b/>
          <w:bCs/>
        </w:rPr>
        <w:t xml:space="preserve"> </w:t>
      </w:r>
      <w:r>
        <w:rPr>
          <w:rFonts w:hint="eastAsia" w:asciiTheme="minorEastAsia" w:hAnsiTheme="minorEastAsia"/>
          <w:sz w:val="21"/>
          <w:szCs w:val="21"/>
        </w:rPr>
        <w:t xml:space="preserve">  注：课程参照实际教学 </w:t>
      </w:r>
    </w:p>
    <w:p w14:paraId="25042710">
      <w:pPr>
        <w:numPr>
          <w:ilvl w:val="0"/>
          <w:numId w:val="1"/>
        </w:numPr>
        <w:rPr>
          <w:b/>
          <w:bCs/>
          <w:sz w:val="24"/>
        </w:rPr>
      </w:pPr>
      <w:r>
        <w:rPr>
          <w:rFonts w:hint="eastAsia"/>
          <w:b/>
          <w:bCs/>
          <w:sz w:val="24"/>
        </w:rPr>
        <w:t>报考条件：</w:t>
      </w:r>
    </w:p>
    <w:p w14:paraId="5443DCB7">
      <w:pPr>
        <w:widowControl/>
        <w:spacing w:line="360" w:lineRule="auto"/>
        <w:ind w:firstLine="525" w:firstLineChars="250"/>
        <w:jc w:val="left"/>
        <w:rPr>
          <w:rFonts w:ascii="Times New Roman" w:hAnsi="Times New Roman"/>
        </w:rPr>
      </w:pPr>
      <w:r>
        <w:rPr>
          <w:rFonts w:hint="eastAsia" w:ascii="Times New Roman" w:hAnsi="Times New Roman"/>
        </w:rPr>
        <w:t>1、遵纪守法，品行端正，具有行业信息化经验、从业经验，或在数据分析等相关项目方面做出成绩的在职人员优先录取。</w:t>
      </w:r>
    </w:p>
    <w:p w14:paraId="2AB4E328">
      <w:pPr>
        <w:widowControl/>
        <w:spacing w:line="360" w:lineRule="auto"/>
        <w:ind w:firstLine="525" w:firstLineChars="250"/>
        <w:jc w:val="left"/>
        <w:rPr>
          <w:rFonts w:ascii="Times New Roman" w:hAnsi="Times New Roman"/>
        </w:rPr>
      </w:pPr>
      <w:r>
        <w:rPr>
          <w:rFonts w:hint="eastAsia" w:ascii="Times New Roman" w:hAnsi="Times New Roman"/>
        </w:rPr>
        <w:t>2、大专及大专以上学历（专业背景不限）。</w:t>
      </w:r>
    </w:p>
    <w:p w14:paraId="677FDA68">
      <w:pPr>
        <w:rPr>
          <w:b/>
          <w:bCs/>
          <w:sz w:val="24"/>
        </w:rPr>
      </w:pPr>
    </w:p>
    <w:p w14:paraId="247961B1">
      <w:pPr>
        <w:numPr>
          <w:ilvl w:val="0"/>
          <w:numId w:val="1"/>
        </w:numPr>
        <w:rPr>
          <w:b/>
          <w:bCs/>
          <w:sz w:val="24"/>
        </w:rPr>
      </w:pPr>
      <w:r>
        <w:rPr>
          <w:rFonts w:hint="eastAsia"/>
          <w:b/>
          <w:bCs/>
          <w:sz w:val="24"/>
        </w:rPr>
        <w:t>学制及学费：</w:t>
      </w:r>
    </w:p>
    <w:p w14:paraId="42A5A2A8">
      <w:pPr>
        <w:widowControl/>
        <w:spacing w:line="360" w:lineRule="auto"/>
        <w:ind w:firstLine="525" w:firstLineChars="250"/>
        <w:jc w:val="left"/>
        <w:rPr>
          <w:rFonts w:ascii="Times New Roman" w:hAnsi="Times New Roman"/>
        </w:rPr>
      </w:pPr>
      <w:r>
        <w:rPr>
          <w:rFonts w:hint="eastAsia" w:ascii="Times New Roman" w:hAnsi="Times New Roman"/>
        </w:rPr>
        <w:t>1、学制：学制1.5年。不脱产学习，周末（六、日）上课。</w:t>
      </w:r>
    </w:p>
    <w:p w14:paraId="45837E69">
      <w:pPr>
        <w:widowControl/>
        <w:spacing w:line="360" w:lineRule="auto"/>
        <w:ind w:firstLine="525" w:firstLineChars="250"/>
        <w:jc w:val="left"/>
        <w:rPr>
          <w:rFonts w:ascii="Times New Roman" w:hAnsi="Times New Roman"/>
        </w:rPr>
      </w:pPr>
      <w:r>
        <w:rPr>
          <w:rFonts w:hint="eastAsia" w:ascii="Times New Roman" w:hAnsi="Times New Roman"/>
        </w:rPr>
        <w:t>2、学费：</w:t>
      </w:r>
      <w:r>
        <w:rPr>
          <w:rFonts w:ascii="Times New Roman" w:hAnsi="Times New Roman"/>
        </w:rPr>
        <w:t>42000</w:t>
      </w:r>
      <w:r>
        <w:rPr>
          <w:rFonts w:hint="eastAsia" w:ascii="Times New Roman" w:hAnsi="Times New Roman"/>
        </w:rPr>
        <w:t>元</w:t>
      </w:r>
      <w:r>
        <w:rPr>
          <w:rFonts w:hint="eastAsia" w:ascii="Times New Roman" w:hAnsi="Times New Roman"/>
          <w:lang w:eastAsia="zh-CN"/>
        </w:rPr>
        <w:t>（</w:t>
      </w:r>
      <w:r>
        <w:rPr>
          <w:rFonts w:hint="eastAsia" w:ascii="Times New Roman" w:hAnsi="Times New Roman"/>
          <w:lang w:val="en-US" w:eastAsia="zh-CN"/>
        </w:rPr>
        <w:t>团班价格30000元</w:t>
      </w:r>
      <w:r>
        <w:rPr>
          <w:rFonts w:hint="eastAsia" w:ascii="Times New Roman" w:hAnsi="Times New Roman"/>
          <w:lang w:eastAsia="zh-CN"/>
        </w:rPr>
        <w:t>）</w:t>
      </w:r>
      <w:r>
        <w:rPr>
          <w:rFonts w:hint="eastAsia" w:ascii="Times New Roman" w:hAnsi="Times New Roman"/>
        </w:rPr>
        <w:t>。</w:t>
      </w:r>
    </w:p>
    <w:p w14:paraId="00442BD5">
      <w:pPr>
        <w:widowControl/>
        <w:spacing w:line="360" w:lineRule="auto"/>
        <w:ind w:firstLine="525" w:firstLineChars="250"/>
        <w:jc w:val="left"/>
        <w:rPr>
          <w:rFonts w:ascii="Times New Roman" w:hAnsi="Times New Roman"/>
        </w:rPr>
      </w:pPr>
      <w:r>
        <w:rPr>
          <w:rFonts w:hint="eastAsia" w:ascii="Times New Roman" w:hAnsi="Times New Roman"/>
        </w:rPr>
        <w:t>3、教材与讲义：根据授课教师提供的教材或讲义，学院负责购买或印制。</w:t>
      </w:r>
    </w:p>
    <w:p w14:paraId="2B791EAD">
      <w:pPr>
        <w:rPr>
          <w:b/>
          <w:bCs/>
          <w:sz w:val="24"/>
        </w:rPr>
      </w:pPr>
    </w:p>
    <w:p w14:paraId="1DAB0FD2">
      <w:pPr>
        <w:numPr>
          <w:ilvl w:val="0"/>
          <w:numId w:val="1"/>
        </w:numPr>
        <w:rPr>
          <w:b/>
          <w:bCs/>
          <w:sz w:val="24"/>
        </w:rPr>
      </w:pPr>
      <w:r>
        <w:rPr>
          <w:rFonts w:hint="eastAsia"/>
          <w:b/>
          <w:bCs/>
          <w:sz w:val="24"/>
        </w:rPr>
        <w:t>报名材料：</w:t>
      </w:r>
    </w:p>
    <w:p w14:paraId="5BD822A8">
      <w:pPr>
        <w:widowControl/>
        <w:spacing w:line="360" w:lineRule="auto"/>
        <w:ind w:firstLine="525" w:firstLineChars="250"/>
        <w:jc w:val="left"/>
        <w:rPr>
          <w:rFonts w:ascii="Times New Roman" w:hAnsi="Times New Roman"/>
        </w:rPr>
      </w:pPr>
      <w:r>
        <w:rPr>
          <w:rFonts w:hint="eastAsia" w:ascii="Times New Roman" w:hAnsi="Times New Roman"/>
        </w:rPr>
        <w:t>1、填写在职人员课程培训班报名登记表；</w:t>
      </w:r>
    </w:p>
    <w:p w14:paraId="16ECAAD3">
      <w:pPr>
        <w:widowControl/>
        <w:spacing w:line="360" w:lineRule="auto"/>
        <w:ind w:firstLine="525" w:firstLineChars="250"/>
        <w:jc w:val="left"/>
        <w:rPr>
          <w:rFonts w:ascii="Times New Roman" w:hAnsi="Times New Roman"/>
        </w:rPr>
      </w:pPr>
      <w:r>
        <w:rPr>
          <w:rFonts w:hint="eastAsia" w:ascii="Times New Roman" w:hAnsi="Times New Roman"/>
        </w:rPr>
        <w:t>2、提交本人身份证复印件、学历证书和学位证书复印件；</w:t>
      </w:r>
    </w:p>
    <w:p w14:paraId="6452DBD8">
      <w:pPr>
        <w:widowControl/>
        <w:spacing w:line="360" w:lineRule="auto"/>
        <w:ind w:firstLine="525" w:firstLineChars="250"/>
        <w:jc w:val="left"/>
        <w:rPr>
          <w:rFonts w:ascii="Times New Roman" w:hAnsi="Times New Roman"/>
        </w:rPr>
      </w:pPr>
      <w:r>
        <w:rPr>
          <w:rFonts w:hint="eastAsia" w:ascii="Times New Roman" w:hAnsi="Times New Roman"/>
        </w:rPr>
        <w:t>3、1寸和2寸免冠照片各三张（背景色为白色或者蓝色）。</w:t>
      </w:r>
    </w:p>
    <w:p w14:paraId="0E751F8A">
      <w:pPr>
        <w:rPr>
          <w:b/>
          <w:bCs/>
          <w:sz w:val="24"/>
        </w:rPr>
      </w:pPr>
    </w:p>
    <w:p w14:paraId="118F3BD7">
      <w:pPr>
        <w:numPr>
          <w:ilvl w:val="0"/>
          <w:numId w:val="1"/>
        </w:numPr>
        <w:rPr>
          <w:b/>
          <w:bCs/>
          <w:sz w:val="24"/>
        </w:rPr>
      </w:pPr>
      <w:r>
        <w:rPr>
          <w:rFonts w:hint="eastAsia"/>
          <w:b/>
          <w:bCs/>
          <w:sz w:val="24"/>
        </w:rPr>
        <w:t>培养方式及报名须知：</w:t>
      </w:r>
    </w:p>
    <w:p w14:paraId="26A7F890">
      <w:pPr>
        <w:widowControl/>
        <w:spacing w:line="360" w:lineRule="auto"/>
        <w:ind w:firstLine="420"/>
        <w:jc w:val="left"/>
        <w:rPr>
          <w:rFonts w:ascii="Times New Roman" w:hAnsi="Times New Roman"/>
          <w:color w:val="000000"/>
          <w:kern w:val="0"/>
          <w:szCs w:val="21"/>
        </w:rPr>
      </w:pPr>
      <w:r>
        <w:rPr>
          <w:rFonts w:hint="eastAsia" w:ascii="Times New Roman" w:hAnsi="Arial"/>
          <w:color w:val="000000"/>
          <w:kern w:val="0"/>
          <w:szCs w:val="21"/>
        </w:rPr>
        <w:t>1、</w:t>
      </w:r>
      <w:r>
        <w:rPr>
          <w:rFonts w:ascii="Times New Roman" w:hAnsi="Arial"/>
          <w:color w:val="000000"/>
          <w:kern w:val="0"/>
          <w:szCs w:val="21"/>
        </w:rPr>
        <w:t>授课形式：课程班采取</w:t>
      </w:r>
      <w:r>
        <w:rPr>
          <w:rFonts w:ascii="Times New Roman" w:hAnsi="Times New Roman"/>
          <w:color w:val="000000"/>
          <w:kern w:val="0"/>
          <w:szCs w:val="21"/>
        </w:rPr>
        <w:t>“</w:t>
      </w:r>
      <w:r>
        <w:rPr>
          <w:rFonts w:ascii="Times New Roman" w:hAnsi="Arial"/>
          <w:color w:val="000000"/>
          <w:kern w:val="0"/>
          <w:szCs w:val="21"/>
        </w:rPr>
        <w:t>线上</w:t>
      </w:r>
      <w:r>
        <w:rPr>
          <w:rFonts w:ascii="Times New Roman" w:hAnsi="Times New Roman"/>
          <w:color w:val="000000"/>
          <w:kern w:val="0"/>
          <w:szCs w:val="21"/>
        </w:rPr>
        <w:t>”</w:t>
      </w:r>
      <w:r>
        <w:rPr>
          <w:rFonts w:ascii="Times New Roman" w:hAnsi="Arial"/>
          <w:color w:val="000000"/>
          <w:kern w:val="0"/>
          <w:szCs w:val="21"/>
        </w:rPr>
        <w:t>和</w:t>
      </w:r>
      <w:r>
        <w:rPr>
          <w:rFonts w:ascii="Times New Roman" w:hAnsi="Times New Roman"/>
          <w:color w:val="000000"/>
          <w:kern w:val="0"/>
          <w:szCs w:val="21"/>
        </w:rPr>
        <w:t>“</w:t>
      </w:r>
      <w:r>
        <w:rPr>
          <w:rFonts w:ascii="Times New Roman" w:hAnsi="Arial"/>
          <w:color w:val="000000"/>
          <w:kern w:val="0"/>
          <w:szCs w:val="21"/>
        </w:rPr>
        <w:t>线下</w:t>
      </w:r>
      <w:r>
        <w:rPr>
          <w:rFonts w:ascii="Times New Roman" w:hAnsi="Times New Roman"/>
          <w:color w:val="000000"/>
          <w:kern w:val="0"/>
          <w:szCs w:val="21"/>
        </w:rPr>
        <w:t>”</w:t>
      </w:r>
      <w:r>
        <w:rPr>
          <w:rFonts w:ascii="Times New Roman" w:hAnsi="Arial"/>
          <w:color w:val="000000"/>
          <w:kern w:val="0"/>
          <w:szCs w:val="21"/>
        </w:rPr>
        <w:t>相结合的教学方式。</w:t>
      </w:r>
    </w:p>
    <w:p w14:paraId="491A280E">
      <w:pPr>
        <w:widowControl/>
        <w:spacing w:line="360" w:lineRule="auto"/>
        <w:ind w:firstLine="408"/>
        <w:jc w:val="left"/>
        <w:rPr>
          <w:rFonts w:ascii="Times New Roman" w:hAnsi="Times New Roman"/>
          <w:color w:val="000000"/>
          <w:kern w:val="0"/>
          <w:szCs w:val="21"/>
        </w:rPr>
      </w:pPr>
      <w:r>
        <w:rPr>
          <w:rFonts w:hint="eastAsia" w:ascii="Times New Roman" w:hAnsi="Arial"/>
          <w:color w:val="000000"/>
          <w:kern w:val="0"/>
          <w:szCs w:val="21"/>
        </w:rPr>
        <w:t>2、</w:t>
      </w:r>
      <w:r>
        <w:rPr>
          <w:rFonts w:ascii="Times New Roman" w:hAnsi="Arial"/>
          <w:color w:val="000000"/>
          <w:kern w:val="0"/>
          <w:szCs w:val="21"/>
        </w:rPr>
        <w:t>北京上课地点：北京市朝阳区惠新东街</w:t>
      </w:r>
      <w:r>
        <w:rPr>
          <w:rFonts w:ascii="Times New Roman" w:hAnsi="Times New Roman"/>
          <w:color w:val="000000"/>
          <w:kern w:val="0"/>
          <w:szCs w:val="21"/>
        </w:rPr>
        <w:t>10</w:t>
      </w:r>
      <w:r>
        <w:rPr>
          <w:rFonts w:ascii="Times New Roman" w:hAnsi="Arial"/>
          <w:color w:val="000000"/>
          <w:kern w:val="0"/>
          <w:szCs w:val="21"/>
        </w:rPr>
        <w:t>号，对外经济贸易大学，或线上教学。</w:t>
      </w:r>
    </w:p>
    <w:p w14:paraId="7120710B">
      <w:pPr>
        <w:widowControl/>
        <w:spacing w:line="360" w:lineRule="auto"/>
        <w:ind w:firstLine="408"/>
        <w:jc w:val="left"/>
        <w:rPr>
          <w:rFonts w:ascii="Times New Roman" w:hAnsi="Times New Roman"/>
          <w:color w:val="000000"/>
          <w:kern w:val="0"/>
          <w:szCs w:val="21"/>
        </w:rPr>
      </w:pPr>
      <w:r>
        <w:rPr>
          <w:rFonts w:hint="eastAsia" w:ascii="Times New Roman" w:hAnsi="Arial"/>
          <w:color w:val="000000"/>
          <w:kern w:val="0"/>
          <w:szCs w:val="21"/>
        </w:rPr>
        <w:t>3、</w:t>
      </w:r>
      <w:r>
        <w:rPr>
          <w:rFonts w:ascii="Times New Roman" w:hAnsi="Arial"/>
          <w:color w:val="000000"/>
          <w:kern w:val="0"/>
          <w:szCs w:val="21"/>
        </w:rPr>
        <w:t>外地上课地点：根据学员集中度城市</w:t>
      </w:r>
      <w:r>
        <w:rPr>
          <w:rFonts w:hint="eastAsia" w:ascii="Times New Roman" w:hAnsi="Arial"/>
          <w:color w:val="000000"/>
          <w:kern w:val="0"/>
          <w:szCs w:val="21"/>
        </w:rPr>
        <w:t>，</w:t>
      </w:r>
      <w:r>
        <w:rPr>
          <w:rFonts w:ascii="Times New Roman" w:hAnsi="Arial"/>
          <w:color w:val="000000"/>
          <w:kern w:val="0"/>
          <w:szCs w:val="21"/>
        </w:rPr>
        <w:t>或者企业定制班所在地，或线上教学。</w:t>
      </w:r>
    </w:p>
    <w:p w14:paraId="651AF5A1">
      <w:pPr>
        <w:widowControl/>
        <w:spacing w:line="360" w:lineRule="auto"/>
        <w:ind w:firstLine="420" w:firstLineChars="200"/>
        <w:jc w:val="left"/>
        <w:rPr>
          <w:rFonts w:hint="eastAsia" w:ascii="Times New Roman" w:hAnsi="Times New Roman"/>
        </w:rPr>
      </w:pPr>
      <w:r>
        <w:rPr>
          <w:rFonts w:hint="eastAsia" w:ascii="Times New Roman" w:hAnsi="Times New Roman"/>
        </w:rPr>
        <w:t>4、报名成功后，第一门课程之后，学生因个人原因不能坚持学习的，视为自动放弃学习，费用不退。</w:t>
      </w:r>
    </w:p>
    <w:p w14:paraId="6D1741BE">
      <w:pPr>
        <w:widowControl/>
        <w:spacing w:line="360" w:lineRule="auto"/>
        <w:ind w:firstLine="420" w:firstLineChars="200"/>
        <w:jc w:val="left"/>
        <w:rPr>
          <w:rFonts w:ascii="Times New Roman" w:hAnsi="Times New Roman"/>
        </w:rPr>
      </w:pPr>
    </w:p>
    <w:p w14:paraId="79E8E982">
      <w:pPr>
        <w:numPr>
          <w:ilvl w:val="0"/>
          <w:numId w:val="1"/>
        </w:numPr>
        <w:rPr>
          <w:b/>
          <w:bCs/>
          <w:sz w:val="24"/>
        </w:rPr>
      </w:pPr>
      <w:r>
        <w:rPr>
          <w:rFonts w:hint="eastAsia"/>
          <w:b/>
          <w:bCs/>
          <w:sz w:val="24"/>
        </w:rPr>
        <w:t>获得证书：</w:t>
      </w:r>
    </w:p>
    <w:p w14:paraId="1D00CECC">
      <w:pPr>
        <w:widowControl/>
        <w:spacing w:line="360" w:lineRule="auto"/>
        <w:ind w:firstLine="241" w:firstLineChars="100"/>
        <w:jc w:val="left"/>
        <w:rPr>
          <w:rFonts w:ascii="Times New Roman" w:hAnsi="Times New Roman"/>
          <w:color w:val="000000"/>
          <w:kern w:val="0"/>
          <w:szCs w:val="21"/>
        </w:rPr>
      </w:pPr>
      <w:r>
        <w:rPr>
          <w:rFonts w:hint="eastAsia"/>
          <w:b/>
          <w:bCs/>
          <w:sz w:val="24"/>
        </w:rPr>
        <w:t xml:space="preserve"> </w:t>
      </w:r>
      <w:r>
        <w:rPr>
          <w:rFonts w:ascii="Times New Roman" w:hAnsi="Times New Roman"/>
          <w:color w:val="000000"/>
          <w:kern w:val="0"/>
          <w:szCs w:val="21"/>
        </w:rPr>
        <w:t>1</w:t>
      </w:r>
      <w:r>
        <w:rPr>
          <w:rFonts w:hint="eastAsia" w:ascii="Times New Roman" w:hAnsi="Times New Roman"/>
          <w:color w:val="000000"/>
          <w:kern w:val="0"/>
          <w:szCs w:val="21"/>
        </w:rPr>
        <w:t>、</w:t>
      </w:r>
      <w:r>
        <w:rPr>
          <w:rFonts w:ascii="Times New Roman" w:hAnsi="Arial"/>
          <w:color w:val="000000"/>
          <w:kern w:val="0"/>
          <w:szCs w:val="21"/>
        </w:rPr>
        <w:t>学员完成</w:t>
      </w:r>
      <w:r>
        <w:rPr>
          <w:rFonts w:ascii="Times New Roman" w:hAnsi="Times New Roman"/>
          <w:color w:val="000000"/>
          <w:kern w:val="0"/>
          <w:szCs w:val="21"/>
        </w:rPr>
        <w:t>“</w:t>
      </w:r>
      <w:r>
        <w:rPr>
          <w:rFonts w:ascii="Times New Roman" w:hAnsi="Arial"/>
          <w:color w:val="000000"/>
          <w:kern w:val="0"/>
          <w:szCs w:val="21"/>
        </w:rPr>
        <w:t>课程设置</w:t>
      </w:r>
      <w:r>
        <w:rPr>
          <w:rFonts w:ascii="Times New Roman" w:hAnsi="Times New Roman"/>
          <w:color w:val="000000"/>
          <w:kern w:val="0"/>
          <w:szCs w:val="21"/>
        </w:rPr>
        <w:t>”</w:t>
      </w:r>
      <w:r>
        <w:rPr>
          <w:rFonts w:ascii="Times New Roman" w:hAnsi="Arial"/>
          <w:color w:val="000000"/>
          <w:kern w:val="0"/>
          <w:szCs w:val="21"/>
        </w:rPr>
        <w:t>中所规定的课程并考试（考核）成绩合格者后</w:t>
      </w:r>
      <w:r>
        <w:rPr>
          <w:rFonts w:hint="eastAsia" w:ascii="Times New Roman" w:hAnsi="Arial"/>
          <w:color w:val="000000"/>
          <w:kern w:val="0"/>
          <w:szCs w:val="21"/>
        </w:rPr>
        <w:t>，</w:t>
      </w:r>
      <w:r>
        <w:rPr>
          <w:rFonts w:ascii="Times New Roman" w:hAnsi="Arial"/>
          <w:color w:val="000000"/>
          <w:kern w:val="0"/>
          <w:szCs w:val="21"/>
        </w:rPr>
        <w:t>可获加盖校长签名章、学校钢印和红章的《对外经济贸易大学在职人员课程培训班结业证书》。</w:t>
      </w:r>
    </w:p>
    <w:p w14:paraId="64E93F42">
      <w:pPr>
        <w:widowControl/>
        <w:spacing w:line="360" w:lineRule="auto"/>
        <w:ind w:firstLine="420"/>
        <w:jc w:val="left"/>
        <w:rPr>
          <w:b/>
          <w:bCs/>
          <w:sz w:val="24"/>
        </w:rPr>
      </w:pPr>
      <w:r>
        <w:rPr>
          <w:rFonts w:ascii="Times New Roman" w:hAnsi="Times New Roman"/>
          <w:color w:val="000000"/>
          <w:kern w:val="0"/>
          <w:szCs w:val="21"/>
        </w:rPr>
        <w:t>2</w:t>
      </w:r>
      <w:r>
        <w:rPr>
          <w:rFonts w:hint="eastAsia" w:ascii="Times New Roman" w:hAnsi="Times New Roman"/>
          <w:color w:val="000000"/>
          <w:kern w:val="0"/>
          <w:szCs w:val="21"/>
        </w:rPr>
        <w:t>、</w:t>
      </w:r>
      <w:r>
        <w:rPr>
          <w:rFonts w:ascii="Times New Roman" w:hAnsi="Arial"/>
          <w:color w:val="000000"/>
          <w:kern w:val="0"/>
          <w:szCs w:val="21"/>
        </w:rPr>
        <w:t>若学员有更高层次的学习需求，在本人自愿情况下，我院可协助学员对接校内各类高等教育办学项目。</w:t>
      </w:r>
    </w:p>
    <w:p w14:paraId="61F5FD6D">
      <w:pPr>
        <w:rPr>
          <w:b/>
          <w:bCs/>
          <w:sz w:val="24"/>
        </w:rPr>
      </w:pPr>
      <w:bookmarkStart w:id="1" w:name="_GoBack"/>
      <w:bookmarkEnd w:id="1"/>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795C4">
    <w:pPr>
      <w:pStyle w:val="4"/>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1135" cy="4949825"/>
          <wp:effectExtent l="0" t="0" r="5715" b="3175"/>
          <wp:wrapNone/>
          <wp:docPr id="5" name="WordPictureWatermark1834882439" descr="q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834882439" descr="qqq"/>
                  <pic:cNvPicPr>
                    <a:picLocks noChangeAspect="1"/>
                  </pic:cNvPicPr>
                </pic:nvPicPr>
                <pic:blipFill>
                  <a:blip r:embed="rId1">
                    <a:lum bright="70001" contrast="-70000"/>
                  </a:blip>
                  <a:stretch>
                    <a:fillRect/>
                  </a:stretch>
                </pic:blipFill>
                <pic:spPr>
                  <a:xfrm>
                    <a:off x="0" y="0"/>
                    <a:ext cx="5271135" cy="4949825"/>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74310"/>
          <wp:effectExtent l="0" t="0" r="2540" b="2540"/>
          <wp:wrapNone/>
          <wp:docPr id="4" name="WordPictureWatermark12709" descr="对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2709" descr="对外"/>
                  <pic:cNvPicPr>
                    <a:picLocks noChangeAspect="1"/>
                  </pic:cNvPicPr>
                </pic:nvPicPr>
                <pic:blipFill>
                  <a:blip r:embed="rId2">
                    <a:lum bright="69998" contrast="-70001"/>
                  </a:blip>
                  <a:stretch>
                    <a:fillRect/>
                  </a:stretch>
                </pic:blipFill>
                <pic:spPr>
                  <a:xfrm>
                    <a:off x="0" y="0"/>
                    <a:ext cx="5274310" cy="5274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CFC1C">
    <w:pPr>
      <w:pStyle w:val="4"/>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71135" cy="4949825"/>
          <wp:effectExtent l="0" t="0" r="5715" b="3175"/>
          <wp:wrapNone/>
          <wp:docPr id="3" name="WordPictureWatermark1834882438" descr="q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834882438" descr="qqq"/>
                  <pic:cNvPicPr>
                    <a:picLocks noChangeAspect="1"/>
                  </pic:cNvPicPr>
                </pic:nvPicPr>
                <pic:blipFill>
                  <a:blip r:embed="rId1">
                    <a:lum bright="70001" contrast="-70000"/>
                  </a:blip>
                  <a:stretch>
                    <a:fillRect/>
                  </a:stretch>
                </pic:blipFill>
                <pic:spPr>
                  <a:xfrm>
                    <a:off x="0" y="0"/>
                    <a:ext cx="5271135" cy="494982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8A5B7">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71135" cy="4949825"/>
          <wp:effectExtent l="0" t="0" r="5715" b="3175"/>
          <wp:wrapNone/>
          <wp:docPr id="1" name="WordPictureWatermark1834882437" descr="q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34882437" descr="qqq"/>
                  <pic:cNvPicPr>
                    <a:picLocks noChangeAspect="1"/>
                  </pic:cNvPicPr>
                </pic:nvPicPr>
                <pic:blipFill>
                  <a:blip r:embed="rId1">
                    <a:lum bright="70001" contrast="-70000"/>
                  </a:blip>
                  <a:stretch>
                    <a:fillRect/>
                  </a:stretch>
                </pic:blipFill>
                <pic:spPr>
                  <a:xfrm>
                    <a:off x="0" y="0"/>
                    <a:ext cx="5271135" cy="49498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EDDCEE"/>
    <w:multiLevelType w:val="singleLevel"/>
    <w:tmpl w:val="C8EDDCE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44E84FCB"/>
    <w:rsid w:val="001A48FA"/>
    <w:rsid w:val="0025596B"/>
    <w:rsid w:val="003155D3"/>
    <w:rsid w:val="004654F5"/>
    <w:rsid w:val="00496675"/>
    <w:rsid w:val="004B71D3"/>
    <w:rsid w:val="00646198"/>
    <w:rsid w:val="007937BD"/>
    <w:rsid w:val="007D1F2C"/>
    <w:rsid w:val="00850B04"/>
    <w:rsid w:val="00940B71"/>
    <w:rsid w:val="00B816BC"/>
    <w:rsid w:val="00BC140D"/>
    <w:rsid w:val="00BC4E09"/>
    <w:rsid w:val="00C62A81"/>
    <w:rsid w:val="00C76F5D"/>
    <w:rsid w:val="00C85369"/>
    <w:rsid w:val="00EA1458"/>
    <w:rsid w:val="00F1055D"/>
    <w:rsid w:val="00FE0696"/>
    <w:rsid w:val="1F951B03"/>
    <w:rsid w:val="44E84FCB"/>
    <w:rsid w:val="45EA6959"/>
    <w:rsid w:val="47F43E9C"/>
    <w:rsid w:val="4C8C651F"/>
    <w:rsid w:val="55A80A41"/>
    <w:rsid w:val="5A731F29"/>
    <w:rsid w:val="5DBD404D"/>
    <w:rsid w:val="686C273E"/>
    <w:rsid w:val="7BEB7A0A"/>
    <w:rsid w:val="7F365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2052</Words>
  <Characters>2071</Characters>
  <Lines>15</Lines>
  <Paragraphs>4</Paragraphs>
  <TotalTime>1</TotalTime>
  <ScaleCrop>false</ScaleCrop>
  <LinksUpToDate>false</LinksUpToDate>
  <CharactersWithSpaces>2086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2021-05-13T07:25:00Z</dcterms:created>
  <dc:creator>读研MBA-言言</dc:creator>
  <cp:lastModifiedBy>Administrator</cp:lastModifiedBy>
  <dcterms:modified xsi:type="dcterms:W3CDTF">2026-02-13T01:34:10Z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BAA7C71BF04C45D3BF149DC04276C1FD_12</vt:lpwstr>
  </property>
  <property fmtid="{D5CDD505-2E9C-101B-9397-08002B2CF9AE}" pid="4" name="KSOTemplateDocerSaveRecord">
    <vt:lpwstr>eyJoZGlkIjoiMjJkYmYyOGQwNjU2YTFjYjBlYWQzZDdlZjc2Nzk1ZWYifQ==</vt:lpwstr>
  </property>
</Properties>
</file>