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BA1EE" w14:textId="77777777" w:rsidR="00CB48C5" w:rsidRDefault="00CB48C5"/>
    <w:p w14:paraId="5C802258" w14:textId="77777777" w:rsidR="00CB48C5" w:rsidRDefault="00000000">
      <w:r>
        <w:rPr>
          <w:noProof/>
        </w:rPr>
        <w:drawing>
          <wp:inline distT="0" distB="0" distL="114300" distR="114300" wp14:anchorId="145B38B3" wp14:editId="0A9AD883">
            <wp:extent cx="5271135" cy="1333500"/>
            <wp:effectExtent l="0" t="0" r="571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1135" cy="1333500"/>
                    </a:xfrm>
                    <a:prstGeom prst="rect">
                      <a:avLst/>
                    </a:prstGeom>
                    <a:noFill/>
                    <a:ln>
                      <a:noFill/>
                    </a:ln>
                  </pic:spPr>
                </pic:pic>
              </a:graphicData>
            </a:graphic>
          </wp:inline>
        </w:drawing>
      </w:r>
    </w:p>
    <w:p w14:paraId="3AB25F9D" w14:textId="77777777" w:rsidR="00CB48C5" w:rsidRDefault="00CB48C5"/>
    <w:p w14:paraId="680AD51C" w14:textId="77777777" w:rsidR="00CB48C5" w:rsidRDefault="00CB48C5"/>
    <w:p w14:paraId="029E9387" w14:textId="22FFB01C" w:rsidR="00CB48C5" w:rsidRDefault="00000000">
      <w:pPr>
        <w:jc w:val="center"/>
        <w:rPr>
          <w:rFonts w:asciiTheme="minorEastAsia" w:hAnsiTheme="minorEastAsia" w:cstheme="minorEastAsia" w:hint="eastAsia"/>
          <w:b/>
          <w:bCs/>
          <w:sz w:val="36"/>
          <w:szCs w:val="36"/>
        </w:rPr>
      </w:pPr>
      <w:r>
        <w:rPr>
          <w:rFonts w:asciiTheme="minorEastAsia" w:hAnsiTheme="minorEastAsia" w:cstheme="minorEastAsia" w:hint="eastAsia"/>
          <w:b/>
          <w:bCs/>
          <w:sz w:val="36"/>
          <w:szCs w:val="36"/>
        </w:rPr>
        <w:t>沈阳医学院同等学力申请硕士学位公共卫生与预防医学专业招生简章</w:t>
      </w:r>
      <w:r w:rsidR="00D6185E">
        <w:rPr>
          <w:rFonts w:asciiTheme="minorEastAsia" w:hAnsiTheme="minorEastAsia" w:cstheme="minorEastAsia" w:hint="eastAsia"/>
          <w:b/>
          <w:bCs/>
          <w:sz w:val="36"/>
          <w:szCs w:val="36"/>
        </w:rPr>
        <w:t>（学术型硕士学位）</w:t>
      </w:r>
    </w:p>
    <w:p w14:paraId="188E5B4A" w14:textId="77777777" w:rsidR="00CB48C5" w:rsidRDefault="00CB48C5">
      <w:pPr>
        <w:rPr>
          <w:rFonts w:asciiTheme="minorEastAsia" w:hAnsiTheme="minorEastAsia" w:cstheme="minorEastAsia" w:hint="eastAsia"/>
          <w:b/>
          <w:bCs/>
          <w:sz w:val="36"/>
          <w:szCs w:val="36"/>
        </w:rPr>
      </w:pPr>
    </w:p>
    <w:p w14:paraId="2850F709" w14:textId="77777777" w:rsidR="00CB48C5" w:rsidRDefault="00000000">
      <w:pPr>
        <w:numPr>
          <w:ilvl w:val="0"/>
          <w:numId w:val="1"/>
        </w:numPr>
        <w:rPr>
          <w:rFonts w:asciiTheme="minorEastAsia" w:hAnsiTheme="minorEastAsia" w:cstheme="minorEastAsia" w:hint="eastAsia"/>
          <w:b/>
          <w:bCs/>
          <w:sz w:val="24"/>
        </w:rPr>
      </w:pPr>
      <w:r>
        <w:rPr>
          <w:rFonts w:asciiTheme="minorEastAsia" w:hAnsiTheme="minorEastAsia" w:cstheme="minorEastAsia" w:hint="eastAsia"/>
          <w:b/>
          <w:bCs/>
          <w:sz w:val="24"/>
        </w:rPr>
        <w:t>院校简介：</w:t>
      </w:r>
    </w:p>
    <w:p w14:paraId="4521D3E2" w14:textId="77777777" w:rsidR="00CB48C5" w:rsidRDefault="00CB48C5">
      <w:pPr>
        <w:snapToGrid w:val="0"/>
        <w:spacing w:line="360" w:lineRule="auto"/>
        <w:ind w:firstLineChars="250" w:firstLine="525"/>
        <w:contextualSpacing/>
        <w:rPr>
          <w:rFonts w:asciiTheme="minorEastAsia" w:hAnsiTheme="minorEastAsia" w:cstheme="minorEastAsia" w:hint="eastAsia"/>
          <w:szCs w:val="21"/>
        </w:rPr>
      </w:pPr>
    </w:p>
    <w:p w14:paraId="3DCA671C" w14:textId="77777777" w:rsidR="00CB48C5" w:rsidRDefault="00000000">
      <w:pPr>
        <w:snapToGrid w:val="0"/>
        <w:spacing w:line="480" w:lineRule="auto"/>
        <w:ind w:firstLineChars="250" w:firstLine="525"/>
        <w:contextualSpacing/>
        <w:rPr>
          <w:rFonts w:asciiTheme="minorEastAsia" w:hAnsiTheme="minorEastAsia" w:cstheme="minorEastAsia" w:hint="eastAsia"/>
          <w:szCs w:val="21"/>
        </w:rPr>
      </w:pPr>
      <w:r>
        <w:rPr>
          <w:rFonts w:asciiTheme="minorEastAsia" w:hAnsiTheme="minorEastAsia" w:cstheme="minorEastAsia" w:hint="eastAsia"/>
          <w:szCs w:val="21"/>
        </w:rPr>
        <w:t>沈阳医学院是教育部批准的全日制普通高等学校。建校72年来，学校实施特色发展、错位发展、转型发展和内涵发展战略，现已发展成为</w:t>
      </w:r>
      <w:proofErr w:type="gramStart"/>
      <w:r>
        <w:rPr>
          <w:rFonts w:asciiTheme="minorEastAsia" w:hAnsiTheme="minorEastAsia" w:cstheme="minorEastAsia" w:hint="eastAsia"/>
          <w:szCs w:val="21"/>
        </w:rPr>
        <w:t>一</w:t>
      </w:r>
      <w:proofErr w:type="gramEnd"/>
      <w:r>
        <w:rPr>
          <w:rFonts w:asciiTheme="minorEastAsia" w:hAnsiTheme="minorEastAsia" w:cstheme="minorEastAsia" w:hint="eastAsia"/>
          <w:szCs w:val="21"/>
        </w:rPr>
        <w:t>所以医学为主，多门类、多层次、多种办学形式的市属普通高等院校。</w:t>
      </w:r>
    </w:p>
    <w:p w14:paraId="18E26721" w14:textId="77777777" w:rsidR="00CB48C5" w:rsidRDefault="00000000">
      <w:pPr>
        <w:snapToGrid w:val="0"/>
        <w:spacing w:line="480" w:lineRule="auto"/>
        <w:ind w:firstLineChars="250" w:firstLine="525"/>
        <w:contextualSpacing/>
        <w:rPr>
          <w:rFonts w:asciiTheme="minorEastAsia" w:hAnsiTheme="minorEastAsia" w:cstheme="minorEastAsia" w:hint="eastAsia"/>
          <w:szCs w:val="21"/>
        </w:rPr>
      </w:pPr>
      <w:r>
        <w:rPr>
          <w:rFonts w:asciiTheme="minorEastAsia" w:hAnsiTheme="minorEastAsia" w:cstheme="minorEastAsia" w:hint="eastAsia"/>
          <w:szCs w:val="21"/>
        </w:rPr>
        <w:t>沈阳医学院师资力量雄厚，教学科研条件完善。学校设有基础医学、公共卫生与预防医学两个一级硕士学位授权点和临床医学专业硕士学位授权点，涵盖24个二级学科和领域。学校与大连医科大学联合培养临床医学专业博士研究生。学校建有市政府特邀院士工作站，是全国示范院士专家工作站、辽宁省示范院士专家工作站。附属中心医院手外科为博士后科研工作站。建有诺贝尔生理学或医学奖获得者斐里德·穆拉德工作站。拥有辽宁省重点实验室5个，沈阳市重点实验室9个，沈阳市工程中心1个，沈阳市临床医学研究中心2个。</w:t>
      </w:r>
    </w:p>
    <w:p w14:paraId="409B1B2E" w14:textId="5D5B885F" w:rsidR="00CB48C5" w:rsidRDefault="00000000">
      <w:pPr>
        <w:snapToGrid w:val="0"/>
        <w:spacing w:line="480" w:lineRule="auto"/>
        <w:ind w:firstLineChars="150" w:firstLine="315"/>
        <w:contextualSpacing/>
        <w:rPr>
          <w:rFonts w:asciiTheme="minorEastAsia" w:hAnsiTheme="minorEastAsia" w:cstheme="minorEastAsia" w:hint="eastAsia"/>
          <w:b/>
          <w:bCs/>
          <w:sz w:val="24"/>
        </w:rPr>
      </w:pPr>
      <w:r>
        <w:rPr>
          <w:rFonts w:asciiTheme="minorEastAsia" w:hAnsiTheme="minorEastAsia" w:cstheme="minorEastAsia" w:hint="eastAsia"/>
          <w:szCs w:val="21"/>
        </w:rPr>
        <w:t>沈阳医学院有两所直属附属医院，非直属附属医院18个。直属附属中心医院和附属第二医院（辽宁省退役军人总医院、沈阳市心血管病医院）为三级甲等医院、国家级住院医师规范化培训基地、国家级全科医学临床培训基地。为了给社会输送更多的优秀医学人才，目前我校</w:t>
      </w:r>
      <w:proofErr w:type="gramStart"/>
      <w:r>
        <w:rPr>
          <w:rFonts w:asciiTheme="minorEastAsia" w:hAnsiTheme="minorEastAsia" w:cstheme="minorEastAsia" w:hint="eastAsia"/>
          <w:szCs w:val="21"/>
        </w:rPr>
        <w:t>特开放</w:t>
      </w:r>
      <w:proofErr w:type="gramEnd"/>
      <w:r>
        <w:rPr>
          <w:rFonts w:asciiTheme="minorEastAsia" w:hAnsiTheme="minorEastAsia" w:cstheme="minorEastAsia" w:hint="eastAsia"/>
          <w:szCs w:val="21"/>
        </w:rPr>
        <w:t>了公共卫生与预防医学专业的流行病与卫生统计学、劳动卫生与环境卫生学、营养与食品卫生学、儿</w:t>
      </w:r>
      <w:proofErr w:type="gramStart"/>
      <w:r>
        <w:rPr>
          <w:rFonts w:asciiTheme="minorEastAsia" w:hAnsiTheme="minorEastAsia" w:cstheme="minorEastAsia" w:hint="eastAsia"/>
          <w:szCs w:val="21"/>
        </w:rPr>
        <w:t>少卫生</w:t>
      </w:r>
      <w:proofErr w:type="gramEnd"/>
      <w:r>
        <w:rPr>
          <w:rFonts w:asciiTheme="minorEastAsia" w:hAnsiTheme="minorEastAsia" w:cstheme="minorEastAsia" w:hint="eastAsia"/>
          <w:szCs w:val="21"/>
        </w:rPr>
        <w:t>与妇幼保健学、卫生毒理学</w:t>
      </w:r>
      <w:r w:rsidR="00D6185E">
        <w:rPr>
          <w:rFonts w:asciiTheme="minorEastAsia" w:hAnsiTheme="minorEastAsia" w:cstheme="minorEastAsia" w:hint="eastAsia"/>
          <w:szCs w:val="21"/>
        </w:rPr>
        <w:t>、</w:t>
      </w:r>
      <w:proofErr w:type="gramStart"/>
      <w:r w:rsidR="00D6185E" w:rsidRPr="00D6185E">
        <w:rPr>
          <w:rFonts w:asciiTheme="minorEastAsia" w:hAnsiTheme="minorEastAsia" w:cstheme="minorEastAsia" w:hint="eastAsia"/>
          <w:szCs w:val="21"/>
        </w:rPr>
        <w:t>医养健康</w:t>
      </w:r>
      <w:proofErr w:type="gramEnd"/>
      <w:r w:rsidR="00D6185E" w:rsidRPr="00D6185E">
        <w:rPr>
          <w:rFonts w:asciiTheme="minorEastAsia" w:hAnsiTheme="minorEastAsia" w:cstheme="minorEastAsia" w:hint="eastAsia"/>
          <w:szCs w:val="21"/>
        </w:rPr>
        <w:t>管理学</w:t>
      </w:r>
      <w:r w:rsidR="00D6185E">
        <w:rPr>
          <w:rFonts w:asciiTheme="minorEastAsia" w:hAnsiTheme="minorEastAsia" w:cstheme="minorEastAsia" w:hint="eastAsia"/>
          <w:szCs w:val="21"/>
        </w:rPr>
        <w:t>六</w:t>
      </w:r>
      <w:r>
        <w:rPr>
          <w:rFonts w:asciiTheme="minorEastAsia" w:hAnsiTheme="minorEastAsia" w:cstheme="minorEastAsia" w:hint="eastAsia"/>
          <w:szCs w:val="21"/>
        </w:rPr>
        <w:t>门专业的同等学力人员申请硕士学位课程班，用以培养更多的医学人才。</w:t>
      </w:r>
    </w:p>
    <w:p w14:paraId="196E8469" w14:textId="77777777" w:rsidR="00CB48C5" w:rsidRDefault="00000000">
      <w:pPr>
        <w:numPr>
          <w:ilvl w:val="0"/>
          <w:numId w:val="1"/>
        </w:numPr>
        <w:rPr>
          <w:rFonts w:asciiTheme="minorEastAsia" w:hAnsiTheme="minorEastAsia" w:cstheme="minorEastAsia" w:hint="eastAsia"/>
          <w:b/>
          <w:bCs/>
          <w:sz w:val="24"/>
        </w:rPr>
      </w:pPr>
      <w:r>
        <w:rPr>
          <w:rFonts w:asciiTheme="minorEastAsia" w:hAnsiTheme="minorEastAsia" w:cstheme="minorEastAsia" w:hint="eastAsia"/>
          <w:b/>
          <w:bCs/>
          <w:sz w:val="24"/>
        </w:rPr>
        <w:lastRenderedPageBreak/>
        <w:t>培养目标：</w:t>
      </w:r>
    </w:p>
    <w:p w14:paraId="3FDA7BAC" w14:textId="77777777" w:rsidR="00CB48C5" w:rsidRDefault="00CB48C5">
      <w:pPr>
        <w:rPr>
          <w:rFonts w:asciiTheme="minorEastAsia" w:hAnsiTheme="minorEastAsia" w:cstheme="minorEastAsia" w:hint="eastAsia"/>
          <w:b/>
          <w:bCs/>
          <w:sz w:val="24"/>
        </w:rPr>
      </w:pPr>
    </w:p>
    <w:p w14:paraId="3BC752EC" w14:textId="77777777" w:rsidR="00CB48C5" w:rsidRDefault="00000000">
      <w:pPr>
        <w:snapToGrid w:val="0"/>
        <w:spacing w:line="480" w:lineRule="auto"/>
        <w:ind w:firstLineChars="200" w:firstLine="420"/>
        <w:contextualSpacing/>
        <w:rPr>
          <w:rFonts w:asciiTheme="minorEastAsia" w:hAnsiTheme="minorEastAsia" w:cstheme="minorEastAsia" w:hint="eastAsia"/>
          <w:szCs w:val="21"/>
        </w:rPr>
      </w:pPr>
      <w:r>
        <w:rPr>
          <w:rFonts w:asciiTheme="minorEastAsia" w:hAnsiTheme="minorEastAsia" w:cstheme="minorEastAsia" w:hint="eastAsia"/>
          <w:szCs w:val="21"/>
        </w:rPr>
        <w:t>本专业主要是培养具有扎实的公共卫生与预防医学基础理论和系统的专门知识，熟悉并掌握实验技能，了解该学科的国内外研究状况、发展前沿及与相关学科的交叉渗透。熟练掌握专业外语，可进行一般的学术交流和文献查阅，具有开拓创新能力，培养能够独立从事公共卫生与预防医学领域的科学研究、教学工作或担任专门技术工作的专业型医学人才。</w:t>
      </w:r>
    </w:p>
    <w:p w14:paraId="68C4EE9D" w14:textId="77777777" w:rsidR="00CB48C5" w:rsidRDefault="00CB48C5">
      <w:pPr>
        <w:rPr>
          <w:rFonts w:asciiTheme="minorEastAsia" w:hAnsiTheme="minorEastAsia" w:cstheme="minorEastAsia" w:hint="eastAsia"/>
          <w:b/>
          <w:bCs/>
          <w:sz w:val="24"/>
        </w:rPr>
      </w:pPr>
    </w:p>
    <w:p w14:paraId="6602F6CB" w14:textId="77777777" w:rsidR="00CB48C5" w:rsidRDefault="00000000">
      <w:pPr>
        <w:numPr>
          <w:ilvl w:val="0"/>
          <w:numId w:val="1"/>
        </w:numPr>
        <w:rPr>
          <w:rFonts w:asciiTheme="minorEastAsia" w:hAnsiTheme="minorEastAsia" w:cstheme="minorEastAsia" w:hint="eastAsia"/>
          <w:b/>
          <w:bCs/>
          <w:sz w:val="24"/>
        </w:rPr>
      </w:pPr>
      <w:r>
        <w:rPr>
          <w:rFonts w:asciiTheme="minorEastAsia" w:hAnsiTheme="minorEastAsia" w:cstheme="minorEastAsia" w:hint="eastAsia"/>
          <w:b/>
          <w:bCs/>
          <w:sz w:val="24"/>
        </w:rPr>
        <w:t>培养优势：</w:t>
      </w:r>
    </w:p>
    <w:p w14:paraId="1AC2A9F5" w14:textId="77777777" w:rsidR="00CB48C5" w:rsidRDefault="00CB48C5">
      <w:pPr>
        <w:snapToGrid w:val="0"/>
        <w:spacing w:line="360" w:lineRule="auto"/>
        <w:ind w:firstLineChars="250" w:firstLine="525"/>
        <w:contextualSpacing/>
        <w:rPr>
          <w:rFonts w:asciiTheme="minorEastAsia" w:hAnsiTheme="minorEastAsia" w:cstheme="minorEastAsia" w:hint="eastAsia"/>
          <w:szCs w:val="21"/>
        </w:rPr>
      </w:pPr>
    </w:p>
    <w:p w14:paraId="38FED82C" w14:textId="77777777" w:rsidR="00CB48C5" w:rsidRDefault="00000000">
      <w:pPr>
        <w:snapToGrid w:val="0"/>
        <w:spacing w:line="480" w:lineRule="auto"/>
        <w:ind w:firstLineChars="200" w:firstLine="422"/>
        <w:contextualSpacing/>
        <w:rPr>
          <w:rFonts w:asciiTheme="minorEastAsia" w:hAnsiTheme="minorEastAsia" w:cstheme="minorEastAsia" w:hint="eastAsia"/>
          <w:szCs w:val="21"/>
        </w:rPr>
      </w:pPr>
      <w:r>
        <w:rPr>
          <w:rFonts w:asciiTheme="minorEastAsia" w:hAnsiTheme="minorEastAsia" w:cstheme="minorEastAsia" w:hint="eastAsia"/>
          <w:b/>
          <w:bCs/>
          <w:szCs w:val="21"/>
        </w:rPr>
        <w:t>1、免试入学：</w:t>
      </w:r>
      <w:r>
        <w:rPr>
          <w:rFonts w:asciiTheme="minorEastAsia" w:hAnsiTheme="minorEastAsia" w:cstheme="minorEastAsia" w:hint="eastAsia"/>
          <w:szCs w:val="21"/>
        </w:rPr>
        <w:t>大学本科学历获得学士学位，并获得学士学位后工作三年以上社会人士即可报名参加，先学习再考试，有足够充分的准备和学习课程的时间；</w:t>
      </w:r>
    </w:p>
    <w:p w14:paraId="23B7E45B" w14:textId="77777777" w:rsidR="00CB48C5" w:rsidRDefault="00000000">
      <w:pPr>
        <w:snapToGrid w:val="0"/>
        <w:spacing w:line="480" w:lineRule="auto"/>
        <w:ind w:firstLineChars="200" w:firstLine="422"/>
        <w:contextualSpacing/>
        <w:rPr>
          <w:rFonts w:asciiTheme="minorEastAsia" w:hAnsiTheme="minorEastAsia" w:cstheme="minorEastAsia" w:hint="eastAsia"/>
          <w:szCs w:val="21"/>
        </w:rPr>
      </w:pPr>
      <w:r>
        <w:rPr>
          <w:rFonts w:asciiTheme="minorEastAsia" w:hAnsiTheme="minorEastAsia" w:cstheme="minorEastAsia" w:hint="eastAsia"/>
          <w:b/>
          <w:bCs/>
          <w:szCs w:val="21"/>
        </w:rPr>
        <w:t xml:space="preserve">2、专业优势: </w:t>
      </w:r>
      <w:r>
        <w:rPr>
          <w:rFonts w:asciiTheme="minorEastAsia" w:hAnsiTheme="minorEastAsia" w:cstheme="minorEastAsia" w:hint="eastAsia"/>
          <w:szCs w:val="21"/>
        </w:rPr>
        <w:t>学校设有基础医学、公共卫生与预防医学两个一级硕士学位授权点和临床医学专业硕士学位授权点，涵盖21个二级学科和领域。</w:t>
      </w:r>
    </w:p>
    <w:p w14:paraId="60C03EC3" w14:textId="77777777" w:rsidR="00CB48C5" w:rsidRDefault="00000000">
      <w:pPr>
        <w:snapToGrid w:val="0"/>
        <w:spacing w:line="480" w:lineRule="auto"/>
        <w:ind w:firstLineChars="200" w:firstLine="422"/>
        <w:contextualSpacing/>
        <w:rPr>
          <w:rFonts w:asciiTheme="minorEastAsia" w:hAnsiTheme="minorEastAsia" w:cstheme="minorEastAsia" w:hint="eastAsia"/>
          <w:szCs w:val="21"/>
        </w:rPr>
      </w:pPr>
      <w:r>
        <w:rPr>
          <w:rFonts w:asciiTheme="minorEastAsia" w:hAnsiTheme="minorEastAsia" w:cstheme="minorEastAsia" w:hint="eastAsia"/>
          <w:b/>
          <w:bCs/>
          <w:szCs w:val="21"/>
        </w:rPr>
        <w:t>3、师资队伍：</w:t>
      </w:r>
      <w:r>
        <w:rPr>
          <w:rFonts w:asciiTheme="minorEastAsia" w:hAnsiTheme="minorEastAsia" w:cstheme="minorEastAsia" w:hint="eastAsia"/>
          <w:szCs w:val="21"/>
        </w:rPr>
        <w:t>学校师资丰厚，具有硕士以上学位教师占教师总数比例达到92.08％，具有博士学位教师数占教师总数比例达到50.44％；</w:t>
      </w:r>
    </w:p>
    <w:p w14:paraId="4A34B886" w14:textId="77777777" w:rsidR="00CB48C5" w:rsidRDefault="00000000">
      <w:pPr>
        <w:snapToGrid w:val="0"/>
        <w:spacing w:line="480" w:lineRule="auto"/>
        <w:ind w:firstLineChars="200" w:firstLine="422"/>
        <w:contextualSpacing/>
        <w:rPr>
          <w:rFonts w:asciiTheme="minorEastAsia" w:hAnsiTheme="minorEastAsia" w:cstheme="minorEastAsia" w:hint="eastAsia"/>
          <w:szCs w:val="21"/>
        </w:rPr>
      </w:pPr>
      <w:r>
        <w:rPr>
          <w:rFonts w:asciiTheme="minorEastAsia" w:hAnsiTheme="minorEastAsia" w:cstheme="minorEastAsia" w:hint="eastAsia"/>
          <w:b/>
          <w:bCs/>
          <w:szCs w:val="21"/>
        </w:rPr>
        <w:t>4、国际合作：</w:t>
      </w:r>
      <w:r>
        <w:rPr>
          <w:rFonts w:asciiTheme="minorEastAsia" w:hAnsiTheme="minorEastAsia" w:cstheme="minorEastAsia" w:hint="eastAsia"/>
          <w:szCs w:val="21"/>
        </w:rPr>
        <w:t>学校与美国印第安纳卫斯理大学、美国亚利桑那大学、日本名古屋市立大学、德国韦森特博士学校等医药企业建立了友好合作关系；</w:t>
      </w:r>
    </w:p>
    <w:p w14:paraId="6397C5EB" w14:textId="77777777" w:rsidR="00CB48C5" w:rsidRDefault="00000000">
      <w:pPr>
        <w:snapToGrid w:val="0"/>
        <w:spacing w:line="480" w:lineRule="auto"/>
        <w:ind w:firstLineChars="200" w:firstLine="422"/>
        <w:contextualSpacing/>
        <w:rPr>
          <w:rFonts w:asciiTheme="minorEastAsia" w:hAnsiTheme="minorEastAsia" w:cstheme="minorEastAsia" w:hint="eastAsia"/>
          <w:szCs w:val="21"/>
        </w:rPr>
      </w:pPr>
      <w:r>
        <w:rPr>
          <w:rFonts w:asciiTheme="minorEastAsia" w:hAnsiTheme="minorEastAsia" w:cstheme="minorEastAsia" w:hint="eastAsia"/>
          <w:b/>
          <w:bCs/>
          <w:szCs w:val="21"/>
        </w:rPr>
        <w:t>5、科研优势：</w:t>
      </w:r>
      <w:r>
        <w:rPr>
          <w:rFonts w:asciiTheme="minorEastAsia" w:hAnsiTheme="minorEastAsia" w:cstheme="minorEastAsia" w:hint="eastAsia"/>
          <w:szCs w:val="21"/>
        </w:rPr>
        <w:t>学校坚持科技强校，附属中心医院手外科为博士后科研工作站，建有诺贝尔生理学或医学奖获得者斐里德·穆拉德工作站等；</w:t>
      </w:r>
    </w:p>
    <w:p w14:paraId="5090AF06" w14:textId="77777777" w:rsidR="00CB48C5" w:rsidRDefault="00000000">
      <w:pPr>
        <w:snapToGrid w:val="0"/>
        <w:spacing w:line="480" w:lineRule="auto"/>
        <w:ind w:firstLineChars="200" w:firstLine="422"/>
        <w:contextualSpacing/>
        <w:rPr>
          <w:rFonts w:asciiTheme="minorEastAsia" w:hAnsiTheme="minorEastAsia" w:cstheme="minorEastAsia" w:hint="eastAsia"/>
          <w:szCs w:val="21"/>
        </w:rPr>
      </w:pPr>
      <w:r>
        <w:rPr>
          <w:rFonts w:asciiTheme="minorEastAsia" w:hAnsiTheme="minorEastAsia" w:cstheme="minorEastAsia" w:hint="eastAsia"/>
          <w:b/>
          <w:bCs/>
          <w:szCs w:val="21"/>
        </w:rPr>
        <w:t xml:space="preserve"> 6、结交人脉：</w:t>
      </w:r>
      <w:r>
        <w:rPr>
          <w:rFonts w:asciiTheme="minorEastAsia" w:hAnsiTheme="minorEastAsia" w:cstheme="minorEastAsia" w:hint="eastAsia"/>
          <w:szCs w:val="21"/>
        </w:rPr>
        <w:t>可享受与在校生同等的校友群资源，获得优秀校友以及社会在职精英人脉。</w:t>
      </w:r>
    </w:p>
    <w:p w14:paraId="59974D2C" w14:textId="77777777" w:rsidR="00CB48C5" w:rsidRDefault="00CB48C5">
      <w:pPr>
        <w:rPr>
          <w:rFonts w:asciiTheme="minorEastAsia" w:hAnsiTheme="minorEastAsia" w:cstheme="minorEastAsia" w:hint="eastAsia"/>
          <w:b/>
          <w:bCs/>
          <w:sz w:val="24"/>
        </w:rPr>
      </w:pPr>
    </w:p>
    <w:p w14:paraId="1C788294" w14:textId="77777777" w:rsidR="00CB48C5" w:rsidRDefault="00000000">
      <w:pPr>
        <w:numPr>
          <w:ilvl w:val="0"/>
          <w:numId w:val="1"/>
        </w:numPr>
        <w:rPr>
          <w:rFonts w:asciiTheme="minorEastAsia" w:hAnsiTheme="minorEastAsia" w:cstheme="minorEastAsia" w:hint="eastAsia"/>
          <w:b/>
          <w:bCs/>
          <w:sz w:val="24"/>
        </w:rPr>
      </w:pPr>
      <w:r>
        <w:rPr>
          <w:rFonts w:asciiTheme="minorEastAsia" w:hAnsiTheme="minorEastAsia" w:cstheme="minorEastAsia" w:hint="eastAsia"/>
          <w:b/>
          <w:bCs/>
          <w:sz w:val="24"/>
        </w:rPr>
        <w:t>学科专业：</w:t>
      </w:r>
    </w:p>
    <w:p w14:paraId="56362954" w14:textId="77777777" w:rsidR="00CB48C5" w:rsidRDefault="00CB48C5">
      <w:pPr>
        <w:rPr>
          <w:rFonts w:asciiTheme="minorEastAsia" w:hAnsiTheme="minorEastAsia" w:cstheme="minorEastAsia" w:hint="eastAsia"/>
          <w:b/>
          <w:bCs/>
          <w:sz w:val="24"/>
        </w:rPr>
      </w:pPr>
    </w:p>
    <w:tbl>
      <w:tblPr>
        <w:tblW w:w="7825" w:type="dxa"/>
        <w:tblCellMar>
          <w:left w:w="0" w:type="dxa"/>
          <w:right w:w="0" w:type="dxa"/>
        </w:tblCellMar>
        <w:tblLook w:val="04A0" w:firstRow="1" w:lastRow="0" w:firstColumn="1" w:lastColumn="0" w:noHBand="0" w:noVBand="1"/>
      </w:tblPr>
      <w:tblGrid>
        <w:gridCol w:w="2838"/>
        <w:gridCol w:w="2492"/>
        <w:gridCol w:w="2495"/>
      </w:tblGrid>
      <w:tr w:rsidR="00CB48C5" w14:paraId="12A91A02" w14:textId="77777777">
        <w:trPr>
          <w:trHeight w:val="538"/>
        </w:trPr>
        <w:tc>
          <w:tcPr>
            <w:tcW w:w="28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6DC52E1" w14:textId="77777777" w:rsidR="00CB48C5" w:rsidRDefault="00000000">
            <w:pPr>
              <w:spacing w:line="360" w:lineRule="auto"/>
              <w:contextualSpacing/>
              <w:jc w:val="center"/>
              <w:textAlignment w:val="center"/>
              <w:rPr>
                <w:rFonts w:ascii="宋体" w:hAnsi="宋体" w:cs="宋体" w:hint="eastAsia"/>
                <w:bCs/>
                <w:color w:val="000000"/>
                <w:sz w:val="22"/>
                <w:szCs w:val="22"/>
              </w:rPr>
            </w:pPr>
            <w:r>
              <w:rPr>
                <w:rFonts w:ascii="宋体" w:hAnsi="宋体" w:cs="宋体" w:hint="eastAsia"/>
                <w:b/>
                <w:color w:val="000000"/>
                <w:sz w:val="22"/>
                <w:szCs w:val="22"/>
              </w:rPr>
              <w:t>学科专业</w:t>
            </w:r>
          </w:p>
        </w:tc>
        <w:tc>
          <w:tcPr>
            <w:tcW w:w="4986"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D6479FF" w14:textId="77777777" w:rsidR="00CB48C5" w:rsidRDefault="00000000">
            <w:pPr>
              <w:spacing w:line="360" w:lineRule="auto"/>
              <w:contextualSpacing/>
              <w:jc w:val="center"/>
              <w:textAlignment w:val="center"/>
              <w:rPr>
                <w:rFonts w:asciiTheme="minorEastAsia" w:hAnsiTheme="minorEastAsia" w:cstheme="minorEastAsia" w:hint="eastAsia"/>
                <w:bCs/>
                <w:color w:val="000000"/>
                <w:szCs w:val="21"/>
              </w:rPr>
            </w:pPr>
            <w:r>
              <w:rPr>
                <w:rFonts w:asciiTheme="minorEastAsia" w:hAnsiTheme="minorEastAsia" w:cstheme="minorEastAsia" w:hint="eastAsia"/>
                <w:b/>
                <w:color w:val="000000"/>
                <w:szCs w:val="21"/>
              </w:rPr>
              <w:t>专业名称</w:t>
            </w:r>
          </w:p>
        </w:tc>
      </w:tr>
      <w:tr w:rsidR="00CB48C5" w14:paraId="7ADC12D5" w14:textId="77777777">
        <w:trPr>
          <w:trHeight w:val="528"/>
        </w:trPr>
        <w:tc>
          <w:tcPr>
            <w:tcW w:w="2839" w:type="dxa"/>
            <w:vMerge w:val="restart"/>
            <w:tcBorders>
              <w:top w:val="single" w:sz="4" w:space="0" w:color="auto"/>
              <w:left w:val="single" w:sz="4" w:space="0" w:color="auto"/>
              <w:right w:val="single" w:sz="4" w:space="0" w:color="auto"/>
            </w:tcBorders>
            <w:tcMar>
              <w:top w:w="15" w:type="dxa"/>
              <w:left w:w="15" w:type="dxa"/>
              <w:right w:w="15" w:type="dxa"/>
            </w:tcMar>
            <w:vAlign w:val="center"/>
          </w:tcPr>
          <w:p w14:paraId="7C5787A1" w14:textId="77777777" w:rsidR="00CB48C5" w:rsidRDefault="00000000">
            <w:pPr>
              <w:spacing w:line="360" w:lineRule="auto"/>
              <w:contextualSpacing/>
              <w:jc w:val="center"/>
              <w:textAlignment w:val="center"/>
              <w:rPr>
                <w:rFonts w:ascii="宋体" w:hAnsi="宋体" w:hint="eastAsia"/>
                <w:bCs/>
                <w:color w:val="000000"/>
                <w:sz w:val="22"/>
                <w:szCs w:val="18"/>
              </w:rPr>
            </w:pPr>
            <w:r>
              <w:rPr>
                <w:rFonts w:ascii="宋体" w:hAnsi="宋体" w:hint="eastAsia"/>
                <w:bCs/>
                <w:color w:val="000000"/>
                <w:sz w:val="22"/>
                <w:szCs w:val="18"/>
              </w:rPr>
              <w:t>公共卫生与预防医学</w:t>
            </w:r>
          </w:p>
          <w:p w14:paraId="44FB2193" w14:textId="77777777" w:rsidR="00CB48C5" w:rsidRDefault="00000000">
            <w:pPr>
              <w:spacing w:line="360" w:lineRule="auto"/>
              <w:contextualSpacing/>
              <w:jc w:val="center"/>
              <w:textAlignment w:val="center"/>
              <w:rPr>
                <w:rFonts w:ascii="宋体" w:hAnsi="宋体" w:hint="eastAsia"/>
                <w:b/>
                <w:color w:val="000000"/>
                <w:sz w:val="22"/>
                <w:szCs w:val="18"/>
              </w:rPr>
            </w:pPr>
            <w:r>
              <w:rPr>
                <w:rFonts w:ascii="宋体" w:hAnsi="宋体" w:hint="eastAsia"/>
                <w:bCs/>
                <w:color w:val="000000"/>
                <w:sz w:val="22"/>
                <w:szCs w:val="18"/>
              </w:rPr>
              <w:t>（学术学位）</w:t>
            </w:r>
          </w:p>
        </w:tc>
        <w:tc>
          <w:tcPr>
            <w:tcW w:w="2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43E86E" w14:textId="77777777" w:rsidR="00CB48C5" w:rsidRDefault="00000000">
            <w:pPr>
              <w:spacing w:line="360" w:lineRule="auto"/>
              <w:contextualSpacing/>
              <w:jc w:val="center"/>
              <w:textAlignment w:val="center"/>
              <w:rPr>
                <w:rFonts w:ascii="宋体" w:hAnsi="宋体" w:hint="eastAsia"/>
                <w:color w:val="000000"/>
                <w:kern w:val="0"/>
                <w:szCs w:val="21"/>
              </w:rPr>
            </w:pPr>
            <w:r>
              <w:rPr>
                <w:rFonts w:asciiTheme="minorEastAsia" w:hAnsiTheme="minorEastAsia" w:cstheme="minorEastAsia" w:hint="eastAsia"/>
                <w:szCs w:val="21"/>
              </w:rPr>
              <w:t>流行病与卫生统计学</w:t>
            </w:r>
          </w:p>
        </w:tc>
        <w:tc>
          <w:tcPr>
            <w:tcW w:w="2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38B09B" w14:textId="77777777" w:rsidR="00CB48C5" w:rsidRDefault="00000000">
            <w:pPr>
              <w:spacing w:line="360" w:lineRule="auto"/>
              <w:contextualSpacing/>
              <w:jc w:val="center"/>
              <w:textAlignment w:val="center"/>
              <w:rPr>
                <w:rFonts w:ascii="宋体" w:hAnsi="宋体" w:hint="eastAsia"/>
                <w:color w:val="000000"/>
                <w:kern w:val="0"/>
                <w:szCs w:val="21"/>
              </w:rPr>
            </w:pPr>
            <w:r>
              <w:rPr>
                <w:rFonts w:asciiTheme="minorEastAsia" w:hAnsiTheme="minorEastAsia" w:cstheme="minorEastAsia" w:hint="eastAsia"/>
                <w:szCs w:val="21"/>
              </w:rPr>
              <w:t>营养与食品卫生学</w:t>
            </w:r>
          </w:p>
        </w:tc>
      </w:tr>
      <w:tr w:rsidR="00CB48C5" w14:paraId="0B10B3FB" w14:textId="77777777">
        <w:trPr>
          <w:trHeight w:val="491"/>
        </w:trPr>
        <w:tc>
          <w:tcPr>
            <w:tcW w:w="2839" w:type="dxa"/>
            <w:vMerge/>
            <w:tcBorders>
              <w:left w:val="single" w:sz="4" w:space="0" w:color="auto"/>
              <w:right w:val="single" w:sz="4" w:space="0" w:color="auto"/>
            </w:tcBorders>
            <w:tcMar>
              <w:top w:w="15" w:type="dxa"/>
              <w:left w:w="15" w:type="dxa"/>
              <w:right w:w="15" w:type="dxa"/>
            </w:tcMar>
            <w:vAlign w:val="center"/>
          </w:tcPr>
          <w:p w14:paraId="67CB5E20" w14:textId="77777777" w:rsidR="00CB48C5" w:rsidRDefault="00CB48C5">
            <w:pPr>
              <w:spacing w:line="360" w:lineRule="auto"/>
              <w:contextualSpacing/>
              <w:jc w:val="center"/>
              <w:textAlignment w:val="center"/>
              <w:rPr>
                <w:rFonts w:ascii="宋体" w:hAnsi="宋体" w:hint="eastAsia"/>
                <w:b/>
                <w:color w:val="000000"/>
                <w:sz w:val="22"/>
                <w:szCs w:val="18"/>
              </w:rPr>
            </w:pPr>
          </w:p>
        </w:tc>
        <w:tc>
          <w:tcPr>
            <w:tcW w:w="2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E6EF6D" w14:textId="77777777" w:rsidR="00CB48C5" w:rsidRDefault="00000000">
            <w:pPr>
              <w:spacing w:line="360" w:lineRule="auto"/>
              <w:contextualSpacing/>
              <w:jc w:val="center"/>
              <w:textAlignment w:val="center"/>
              <w:rPr>
                <w:rFonts w:ascii="宋体" w:hAnsi="宋体" w:hint="eastAsia"/>
                <w:color w:val="000000"/>
                <w:kern w:val="0"/>
                <w:szCs w:val="21"/>
              </w:rPr>
            </w:pPr>
            <w:r>
              <w:rPr>
                <w:rFonts w:asciiTheme="minorEastAsia" w:hAnsiTheme="minorEastAsia" w:cstheme="minorEastAsia" w:hint="eastAsia"/>
                <w:szCs w:val="21"/>
              </w:rPr>
              <w:t>劳动卫生与环境卫生学</w:t>
            </w:r>
          </w:p>
        </w:tc>
        <w:tc>
          <w:tcPr>
            <w:tcW w:w="2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7C27D3" w14:textId="77777777" w:rsidR="00CB48C5" w:rsidRDefault="00000000">
            <w:pPr>
              <w:spacing w:line="360" w:lineRule="auto"/>
              <w:contextualSpacing/>
              <w:jc w:val="center"/>
              <w:textAlignment w:val="center"/>
              <w:rPr>
                <w:rFonts w:ascii="宋体" w:hAnsi="宋体" w:hint="eastAsia"/>
                <w:color w:val="000000"/>
                <w:kern w:val="0"/>
                <w:szCs w:val="21"/>
              </w:rPr>
            </w:pPr>
            <w:r>
              <w:rPr>
                <w:rFonts w:ascii="宋体" w:hAnsi="宋体" w:hint="eastAsia"/>
                <w:color w:val="000000"/>
                <w:kern w:val="0"/>
                <w:szCs w:val="21"/>
              </w:rPr>
              <w:t>卫生毒理学</w:t>
            </w:r>
          </w:p>
        </w:tc>
      </w:tr>
      <w:tr w:rsidR="00D6185E" w14:paraId="0BA9C9AC" w14:textId="39971CC1" w:rsidTr="00D6185E">
        <w:trPr>
          <w:trHeight w:val="491"/>
        </w:trPr>
        <w:tc>
          <w:tcPr>
            <w:tcW w:w="2839" w:type="dxa"/>
            <w:vMerge/>
            <w:tcBorders>
              <w:left w:val="single" w:sz="4" w:space="0" w:color="auto"/>
              <w:bottom w:val="single" w:sz="4" w:space="0" w:color="auto"/>
              <w:right w:val="single" w:sz="4" w:space="0" w:color="auto"/>
            </w:tcBorders>
            <w:tcMar>
              <w:top w:w="15" w:type="dxa"/>
              <w:left w:w="15" w:type="dxa"/>
              <w:right w:w="15" w:type="dxa"/>
            </w:tcMar>
            <w:vAlign w:val="center"/>
          </w:tcPr>
          <w:p w14:paraId="1AD54DFF" w14:textId="77777777" w:rsidR="00D6185E" w:rsidRDefault="00D6185E">
            <w:pPr>
              <w:spacing w:line="360" w:lineRule="auto"/>
              <w:contextualSpacing/>
              <w:jc w:val="center"/>
              <w:textAlignment w:val="center"/>
              <w:rPr>
                <w:rFonts w:ascii="宋体" w:hAnsi="宋体" w:hint="eastAsia"/>
                <w:b/>
                <w:color w:val="000000"/>
                <w:sz w:val="22"/>
                <w:szCs w:val="18"/>
              </w:rPr>
            </w:pPr>
          </w:p>
        </w:tc>
        <w:tc>
          <w:tcPr>
            <w:tcW w:w="24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1DF0C1" w14:textId="42EEA567" w:rsidR="00D6185E" w:rsidRDefault="00D6185E">
            <w:pPr>
              <w:spacing w:line="360" w:lineRule="auto"/>
              <w:contextualSpacing/>
              <w:jc w:val="center"/>
              <w:textAlignment w:val="center"/>
              <w:rPr>
                <w:rFonts w:asciiTheme="minorEastAsia" w:hAnsiTheme="minorEastAsia" w:cstheme="minorEastAsia" w:hint="eastAsia"/>
                <w:szCs w:val="21"/>
              </w:rPr>
            </w:pPr>
            <w:proofErr w:type="gramStart"/>
            <w:r w:rsidRPr="00D6185E">
              <w:rPr>
                <w:rFonts w:asciiTheme="minorEastAsia" w:hAnsiTheme="minorEastAsia" w:cstheme="minorEastAsia" w:hint="eastAsia"/>
                <w:szCs w:val="21"/>
              </w:rPr>
              <w:t>医养健康</w:t>
            </w:r>
            <w:proofErr w:type="gramEnd"/>
            <w:r w:rsidRPr="00D6185E">
              <w:rPr>
                <w:rFonts w:asciiTheme="minorEastAsia" w:hAnsiTheme="minorEastAsia" w:cstheme="minorEastAsia" w:hint="eastAsia"/>
                <w:szCs w:val="21"/>
              </w:rPr>
              <w:t>管理</w:t>
            </w:r>
          </w:p>
        </w:tc>
        <w:tc>
          <w:tcPr>
            <w:tcW w:w="2496" w:type="dxa"/>
            <w:tcBorders>
              <w:top w:val="single" w:sz="4" w:space="0" w:color="auto"/>
              <w:left w:val="single" w:sz="4" w:space="0" w:color="auto"/>
              <w:bottom w:val="single" w:sz="4" w:space="0" w:color="auto"/>
              <w:right w:val="single" w:sz="4" w:space="0" w:color="auto"/>
            </w:tcBorders>
            <w:vAlign w:val="center"/>
          </w:tcPr>
          <w:p w14:paraId="7536F88B" w14:textId="77777777" w:rsidR="00D6185E" w:rsidRDefault="00D6185E" w:rsidP="00D6185E">
            <w:pPr>
              <w:spacing w:line="360" w:lineRule="auto"/>
              <w:ind w:left="98"/>
              <w:contextualSpacing/>
              <w:jc w:val="center"/>
              <w:textAlignment w:val="center"/>
              <w:rPr>
                <w:rFonts w:asciiTheme="minorEastAsia" w:hAnsiTheme="minorEastAsia" w:cstheme="minorEastAsia" w:hint="eastAsia"/>
                <w:szCs w:val="21"/>
              </w:rPr>
            </w:pPr>
            <w:r>
              <w:rPr>
                <w:rFonts w:asciiTheme="minorEastAsia" w:hAnsiTheme="minorEastAsia" w:cstheme="minorEastAsia" w:hint="eastAsia"/>
                <w:szCs w:val="21"/>
              </w:rPr>
              <w:t>儿</w:t>
            </w:r>
            <w:proofErr w:type="gramStart"/>
            <w:r>
              <w:rPr>
                <w:rFonts w:asciiTheme="minorEastAsia" w:hAnsiTheme="minorEastAsia" w:cstheme="minorEastAsia" w:hint="eastAsia"/>
                <w:szCs w:val="21"/>
              </w:rPr>
              <w:t>少卫生</w:t>
            </w:r>
            <w:proofErr w:type="gramEnd"/>
            <w:r>
              <w:rPr>
                <w:rFonts w:asciiTheme="minorEastAsia" w:hAnsiTheme="minorEastAsia" w:cstheme="minorEastAsia" w:hint="eastAsia"/>
                <w:szCs w:val="21"/>
              </w:rPr>
              <w:t>与妇幼保健学</w:t>
            </w:r>
          </w:p>
        </w:tc>
      </w:tr>
    </w:tbl>
    <w:p w14:paraId="0BAA8FBF" w14:textId="77777777" w:rsidR="00CB48C5" w:rsidRDefault="00CB48C5">
      <w:pPr>
        <w:rPr>
          <w:rFonts w:asciiTheme="minorEastAsia" w:hAnsiTheme="minorEastAsia" w:cstheme="minorEastAsia" w:hint="eastAsia"/>
          <w:b/>
          <w:bCs/>
          <w:sz w:val="24"/>
        </w:rPr>
      </w:pPr>
    </w:p>
    <w:p w14:paraId="29595812" w14:textId="77777777" w:rsidR="00CB48C5" w:rsidRDefault="00000000">
      <w:pPr>
        <w:numPr>
          <w:ilvl w:val="0"/>
          <w:numId w:val="1"/>
        </w:numPr>
        <w:rPr>
          <w:rFonts w:asciiTheme="minorEastAsia" w:hAnsiTheme="minorEastAsia" w:cstheme="minorEastAsia" w:hint="eastAsia"/>
          <w:b/>
          <w:bCs/>
          <w:sz w:val="24"/>
        </w:rPr>
      </w:pPr>
      <w:r>
        <w:rPr>
          <w:rFonts w:asciiTheme="minorEastAsia" w:hAnsiTheme="minorEastAsia" w:cstheme="minorEastAsia" w:hint="eastAsia"/>
          <w:b/>
          <w:bCs/>
          <w:sz w:val="24"/>
        </w:rPr>
        <w:lastRenderedPageBreak/>
        <w:t>报考条件：</w:t>
      </w:r>
    </w:p>
    <w:p w14:paraId="63948187" w14:textId="77777777" w:rsidR="00CB48C5" w:rsidRDefault="00CB48C5">
      <w:pPr>
        <w:rPr>
          <w:rFonts w:asciiTheme="minorEastAsia" w:hAnsiTheme="minorEastAsia" w:cstheme="minorEastAsia" w:hint="eastAsia"/>
          <w:b/>
          <w:bCs/>
          <w:sz w:val="24"/>
        </w:rPr>
      </w:pPr>
    </w:p>
    <w:p w14:paraId="533A13D3" w14:textId="77777777" w:rsidR="00CB48C5" w:rsidRDefault="00000000">
      <w:pPr>
        <w:spacing w:line="480" w:lineRule="auto"/>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1、拥护中国共产党的领导，遵纪守法、品德优良。</w:t>
      </w:r>
    </w:p>
    <w:p w14:paraId="76176230" w14:textId="77777777" w:rsidR="00CB48C5" w:rsidRDefault="00000000">
      <w:pPr>
        <w:spacing w:line="480" w:lineRule="auto"/>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2、本科毕业并获得学士学位。</w:t>
      </w:r>
    </w:p>
    <w:p w14:paraId="7A1EB1C9" w14:textId="77777777" w:rsidR="00CB48C5" w:rsidRDefault="00000000">
      <w:pPr>
        <w:spacing w:line="480" w:lineRule="auto"/>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3、获得学士学位后工作三年以上，或者虽无学士学位但已获得硕士或博士学位。</w:t>
      </w:r>
    </w:p>
    <w:p w14:paraId="06977105" w14:textId="77777777" w:rsidR="00CB48C5" w:rsidRDefault="00000000">
      <w:pPr>
        <w:spacing w:line="480" w:lineRule="auto"/>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4、经本人所在工作单位同意，在申请学位的专业或相近专业做出成绩，为本单位业务骨干；身体健康，能坚持完成学业。</w:t>
      </w:r>
    </w:p>
    <w:p w14:paraId="7AD7902C" w14:textId="77777777" w:rsidR="00CB48C5" w:rsidRDefault="00000000">
      <w:pPr>
        <w:spacing w:line="480" w:lineRule="auto"/>
        <w:ind w:firstLineChars="200" w:firstLine="420"/>
        <w:rPr>
          <w:rFonts w:asciiTheme="minorEastAsia" w:hAnsiTheme="minorEastAsia" w:cstheme="minorEastAsia" w:hint="eastAsia"/>
          <w:szCs w:val="21"/>
        </w:rPr>
      </w:pPr>
      <w:r>
        <w:rPr>
          <w:rFonts w:asciiTheme="minorEastAsia" w:hAnsiTheme="minorEastAsia" w:cstheme="minorEastAsia" w:hint="eastAsia"/>
          <w:szCs w:val="21"/>
        </w:rPr>
        <w:t>5、应试外语为英语。</w:t>
      </w:r>
    </w:p>
    <w:p w14:paraId="3AC2F380" w14:textId="77777777" w:rsidR="00CB48C5" w:rsidRDefault="00CB48C5">
      <w:pPr>
        <w:rPr>
          <w:rFonts w:asciiTheme="minorEastAsia" w:hAnsiTheme="minorEastAsia" w:cstheme="minorEastAsia" w:hint="eastAsia"/>
          <w:b/>
          <w:bCs/>
          <w:sz w:val="24"/>
        </w:rPr>
      </w:pPr>
    </w:p>
    <w:p w14:paraId="640457BB" w14:textId="77777777" w:rsidR="00CB48C5" w:rsidRDefault="00CB48C5">
      <w:pPr>
        <w:rPr>
          <w:rFonts w:asciiTheme="minorEastAsia" w:hAnsiTheme="minorEastAsia" w:cstheme="minorEastAsia" w:hint="eastAsia"/>
          <w:b/>
          <w:bCs/>
          <w:sz w:val="24"/>
        </w:rPr>
      </w:pPr>
    </w:p>
    <w:p w14:paraId="15A67FCC" w14:textId="77777777" w:rsidR="00CB48C5" w:rsidRDefault="00000000">
      <w:pPr>
        <w:numPr>
          <w:ilvl w:val="0"/>
          <w:numId w:val="1"/>
        </w:numPr>
        <w:rPr>
          <w:rFonts w:asciiTheme="minorEastAsia" w:hAnsiTheme="minorEastAsia" w:cstheme="minorEastAsia" w:hint="eastAsia"/>
          <w:b/>
          <w:bCs/>
          <w:sz w:val="24"/>
        </w:rPr>
      </w:pPr>
      <w:r>
        <w:rPr>
          <w:rFonts w:asciiTheme="minorEastAsia" w:hAnsiTheme="minorEastAsia" w:cstheme="minorEastAsia" w:hint="eastAsia"/>
          <w:b/>
          <w:bCs/>
          <w:sz w:val="24"/>
        </w:rPr>
        <w:t>报名材料：</w:t>
      </w:r>
    </w:p>
    <w:p w14:paraId="2F8166F0" w14:textId="77777777" w:rsidR="00CB48C5" w:rsidRDefault="00CB48C5">
      <w:pPr>
        <w:rPr>
          <w:rFonts w:asciiTheme="minorEastAsia" w:hAnsiTheme="minorEastAsia" w:cstheme="minorEastAsia" w:hint="eastAsia"/>
          <w:b/>
          <w:bCs/>
          <w:sz w:val="24"/>
        </w:rPr>
      </w:pPr>
    </w:p>
    <w:p w14:paraId="1256D703" w14:textId="77777777" w:rsidR="00CB48C5" w:rsidRDefault="00000000">
      <w:pPr>
        <w:snapToGrid w:val="0"/>
        <w:spacing w:line="480" w:lineRule="auto"/>
        <w:ind w:firstLineChars="200" w:firstLine="420"/>
        <w:contextualSpacing/>
        <w:rPr>
          <w:rFonts w:asciiTheme="minorEastAsia" w:hAnsiTheme="minorEastAsia" w:cstheme="minorEastAsia" w:hint="eastAsia"/>
          <w:szCs w:val="21"/>
        </w:rPr>
      </w:pPr>
      <w:r>
        <w:rPr>
          <w:rFonts w:asciiTheme="minorEastAsia" w:hAnsiTheme="minorEastAsia" w:cstheme="minorEastAsia" w:hint="eastAsia"/>
          <w:szCs w:val="21"/>
        </w:rPr>
        <w:t>1、居民身份证原件及复印件；</w:t>
      </w:r>
    </w:p>
    <w:p w14:paraId="28834F0E" w14:textId="77777777" w:rsidR="00CB48C5" w:rsidRDefault="00000000">
      <w:pPr>
        <w:snapToGrid w:val="0"/>
        <w:spacing w:line="480" w:lineRule="auto"/>
        <w:ind w:firstLineChars="200" w:firstLine="420"/>
        <w:contextualSpacing/>
        <w:rPr>
          <w:rFonts w:asciiTheme="minorEastAsia" w:hAnsiTheme="minorEastAsia" w:cstheme="minorEastAsia" w:hint="eastAsia"/>
          <w:szCs w:val="21"/>
        </w:rPr>
      </w:pPr>
      <w:r>
        <w:rPr>
          <w:rFonts w:asciiTheme="minorEastAsia" w:hAnsiTheme="minorEastAsia" w:cstheme="minorEastAsia" w:hint="eastAsia"/>
          <w:szCs w:val="21"/>
        </w:rPr>
        <w:t>2、学历证书原件、复印件及学历认证材料；</w:t>
      </w:r>
    </w:p>
    <w:p w14:paraId="507C9211" w14:textId="77777777" w:rsidR="00CB48C5" w:rsidRDefault="00000000">
      <w:pPr>
        <w:snapToGrid w:val="0"/>
        <w:spacing w:line="480" w:lineRule="auto"/>
        <w:ind w:firstLineChars="200" w:firstLine="420"/>
        <w:contextualSpacing/>
        <w:rPr>
          <w:rFonts w:asciiTheme="minorEastAsia" w:hAnsiTheme="minorEastAsia" w:cstheme="minorEastAsia" w:hint="eastAsia"/>
          <w:szCs w:val="21"/>
        </w:rPr>
      </w:pPr>
      <w:r>
        <w:rPr>
          <w:rFonts w:asciiTheme="minorEastAsia" w:hAnsiTheme="minorEastAsia" w:cstheme="minorEastAsia" w:hint="eastAsia"/>
          <w:szCs w:val="21"/>
        </w:rPr>
        <w:t>3、学位证书原件、复印件及学位认证材料；</w:t>
      </w:r>
    </w:p>
    <w:p w14:paraId="55FC890A" w14:textId="77777777" w:rsidR="00CB48C5" w:rsidRDefault="00000000">
      <w:pPr>
        <w:snapToGrid w:val="0"/>
        <w:spacing w:line="480" w:lineRule="auto"/>
        <w:ind w:firstLineChars="200" w:firstLine="420"/>
        <w:contextualSpacing/>
        <w:rPr>
          <w:rFonts w:asciiTheme="minorEastAsia" w:hAnsiTheme="minorEastAsia" w:cstheme="minorEastAsia" w:hint="eastAsia"/>
          <w:b/>
          <w:bCs/>
          <w:sz w:val="24"/>
        </w:rPr>
      </w:pPr>
      <w:r>
        <w:rPr>
          <w:rFonts w:asciiTheme="minorEastAsia" w:hAnsiTheme="minorEastAsia" w:cstheme="minorEastAsia" w:hint="eastAsia"/>
          <w:szCs w:val="21"/>
        </w:rPr>
        <w:t>4、《沈阳医学院同等学力人员申请硕士学位研究生登记表》1份。</w:t>
      </w:r>
    </w:p>
    <w:p w14:paraId="54222FEE" w14:textId="77777777" w:rsidR="00CB48C5" w:rsidRDefault="00CB48C5">
      <w:pPr>
        <w:rPr>
          <w:rFonts w:asciiTheme="minorEastAsia" w:hAnsiTheme="minorEastAsia" w:cstheme="minorEastAsia" w:hint="eastAsia"/>
          <w:b/>
          <w:bCs/>
          <w:sz w:val="24"/>
        </w:rPr>
      </w:pPr>
    </w:p>
    <w:p w14:paraId="3E959B7F" w14:textId="77777777" w:rsidR="00CB48C5" w:rsidRDefault="00000000">
      <w:pPr>
        <w:numPr>
          <w:ilvl w:val="0"/>
          <w:numId w:val="1"/>
        </w:numPr>
        <w:rPr>
          <w:rFonts w:asciiTheme="minorEastAsia" w:hAnsiTheme="minorEastAsia" w:cstheme="minorEastAsia" w:hint="eastAsia"/>
          <w:b/>
          <w:bCs/>
          <w:sz w:val="24"/>
        </w:rPr>
      </w:pPr>
      <w:r>
        <w:rPr>
          <w:rFonts w:asciiTheme="minorEastAsia" w:hAnsiTheme="minorEastAsia" w:cstheme="minorEastAsia" w:hint="eastAsia"/>
          <w:b/>
          <w:bCs/>
          <w:sz w:val="24"/>
        </w:rPr>
        <w:t>学业要求：</w:t>
      </w:r>
    </w:p>
    <w:p w14:paraId="0C7B2F68" w14:textId="77777777" w:rsidR="00CB48C5" w:rsidRDefault="00CB48C5">
      <w:pPr>
        <w:snapToGrid w:val="0"/>
        <w:spacing w:line="480" w:lineRule="auto"/>
        <w:contextualSpacing/>
        <w:rPr>
          <w:rFonts w:asciiTheme="minorEastAsia" w:hAnsiTheme="minorEastAsia" w:cstheme="minorEastAsia" w:hint="eastAsia"/>
          <w:szCs w:val="21"/>
        </w:rPr>
      </w:pPr>
    </w:p>
    <w:p w14:paraId="6CD65B35" w14:textId="77777777" w:rsidR="00CB48C5" w:rsidRDefault="00000000">
      <w:pPr>
        <w:snapToGrid w:val="0"/>
        <w:spacing w:line="480" w:lineRule="auto"/>
        <w:ind w:firstLineChars="200" w:firstLine="422"/>
        <w:contextualSpacing/>
        <w:rPr>
          <w:rFonts w:asciiTheme="minorEastAsia" w:hAnsiTheme="minorEastAsia" w:cstheme="minorEastAsia" w:hint="eastAsia"/>
          <w:b/>
          <w:bCs/>
          <w:szCs w:val="21"/>
        </w:rPr>
      </w:pPr>
      <w:r>
        <w:rPr>
          <w:rFonts w:asciiTheme="minorEastAsia" w:hAnsiTheme="minorEastAsia" w:cstheme="minorEastAsia" w:hint="eastAsia"/>
          <w:b/>
          <w:bCs/>
          <w:szCs w:val="21"/>
        </w:rPr>
        <w:t>（一）课程考核阶段（第一阶段）</w:t>
      </w:r>
    </w:p>
    <w:p w14:paraId="7675E375" w14:textId="77777777" w:rsidR="00CB48C5" w:rsidRDefault="00000000">
      <w:pPr>
        <w:snapToGrid w:val="0"/>
        <w:spacing w:line="480" w:lineRule="auto"/>
        <w:ind w:firstLineChars="200" w:firstLine="420"/>
        <w:contextualSpacing/>
        <w:rPr>
          <w:rFonts w:asciiTheme="minorEastAsia" w:hAnsiTheme="minorEastAsia" w:cstheme="minorEastAsia" w:hint="eastAsia"/>
          <w:szCs w:val="21"/>
        </w:rPr>
      </w:pPr>
      <w:r>
        <w:rPr>
          <w:rFonts w:asciiTheme="minorEastAsia" w:hAnsiTheme="minorEastAsia" w:cstheme="minorEastAsia" w:hint="eastAsia"/>
          <w:szCs w:val="21"/>
        </w:rPr>
        <w:t>同等学力申请硕士学位研究生课程按照《沈阳医学院学术学位硕士研究生培养方案总则》《沈阳医学院临床医学专业学位同等学力硕士研究生培养方案总则（试行）》执行，由研究生学院进行安排。学校采用线上和线下相结合的混合式教学模式。</w:t>
      </w:r>
    </w:p>
    <w:p w14:paraId="23A3EC3A" w14:textId="77777777" w:rsidR="00CB48C5" w:rsidRDefault="00000000">
      <w:pPr>
        <w:snapToGrid w:val="0"/>
        <w:spacing w:line="480" w:lineRule="auto"/>
        <w:ind w:firstLineChars="200" w:firstLine="420"/>
        <w:contextualSpacing/>
        <w:rPr>
          <w:rFonts w:asciiTheme="minorEastAsia" w:hAnsiTheme="minorEastAsia" w:cstheme="minorEastAsia" w:hint="eastAsia"/>
          <w:szCs w:val="21"/>
        </w:rPr>
      </w:pPr>
      <w:r>
        <w:rPr>
          <w:rFonts w:asciiTheme="minorEastAsia" w:hAnsiTheme="minorEastAsia" w:cstheme="minorEastAsia" w:hint="eastAsia"/>
          <w:szCs w:val="21"/>
        </w:rPr>
        <w:t>申请人按照课程设置要求，可自主选择到校课堂授课（线下）或线上学习课程，完成规定的学分，达到同等学力人员申请硕士学位课程水平。沈阳医学院研究生学院与认定的中国医药学研究生在线教育平台课程学分互认，学生自愿自费、自由选择课堂学习或者线上学习。到校课堂授课（线下）安排以当年课表为准，授课时间与全日制研究生同步。</w:t>
      </w:r>
    </w:p>
    <w:p w14:paraId="62AA3620" w14:textId="77777777" w:rsidR="00CB48C5" w:rsidRDefault="00000000">
      <w:pPr>
        <w:snapToGrid w:val="0"/>
        <w:spacing w:line="480" w:lineRule="auto"/>
        <w:ind w:firstLineChars="200" w:firstLine="422"/>
        <w:contextualSpacing/>
        <w:rPr>
          <w:rFonts w:asciiTheme="minorEastAsia" w:hAnsiTheme="minorEastAsia" w:cstheme="minorEastAsia" w:hint="eastAsia"/>
          <w:b/>
          <w:bCs/>
          <w:szCs w:val="21"/>
        </w:rPr>
      </w:pPr>
      <w:r>
        <w:rPr>
          <w:rFonts w:asciiTheme="minorEastAsia" w:hAnsiTheme="minorEastAsia" w:cstheme="minorEastAsia" w:hint="eastAsia"/>
          <w:b/>
          <w:bCs/>
          <w:szCs w:val="21"/>
        </w:rPr>
        <w:t>（二）学位申请及授予阶段（第二阶段）</w:t>
      </w:r>
    </w:p>
    <w:p w14:paraId="36EB4749" w14:textId="77777777" w:rsidR="00CB48C5" w:rsidRDefault="00000000">
      <w:pPr>
        <w:snapToGrid w:val="0"/>
        <w:spacing w:line="480" w:lineRule="auto"/>
        <w:ind w:firstLineChars="200" w:firstLine="420"/>
        <w:contextualSpacing/>
        <w:rPr>
          <w:rFonts w:asciiTheme="minorEastAsia" w:hAnsiTheme="minorEastAsia" w:cstheme="minorEastAsia" w:hint="eastAsia"/>
          <w:szCs w:val="21"/>
        </w:rPr>
      </w:pPr>
      <w:r>
        <w:rPr>
          <w:rFonts w:asciiTheme="minorEastAsia" w:hAnsiTheme="minorEastAsia" w:cstheme="minorEastAsia" w:hint="eastAsia"/>
          <w:szCs w:val="21"/>
        </w:rPr>
        <w:lastRenderedPageBreak/>
        <w:t>申请人第一阶段完成后双向选择确定研究生导师，在研究生院学位管理部门组织下进入第二阶段培养过程。导师指导申请人完成硕士学位论文撰写工作。依照沈阳医学院学位授予工作相关条例，通过学位管理部门对学位论文的审核和论文答辩，方可申请硕士学位。</w:t>
      </w:r>
    </w:p>
    <w:p w14:paraId="7B1A974E" w14:textId="77777777" w:rsidR="00CB48C5" w:rsidRDefault="00CB48C5">
      <w:pPr>
        <w:rPr>
          <w:rFonts w:asciiTheme="minorEastAsia" w:hAnsiTheme="minorEastAsia" w:cstheme="minorEastAsia" w:hint="eastAsia"/>
          <w:b/>
          <w:bCs/>
          <w:sz w:val="24"/>
        </w:rPr>
      </w:pPr>
    </w:p>
    <w:p w14:paraId="462B78BB" w14:textId="77777777" w:rsidR="00CB48C5" w:rsidRDefault="00000000">
      <w:pPr>
        <w:numPr>
          <w:ilvl w:val="0"/>
          <w:numId w:val="1"/>
        </w:numPr>
        <w:rPr>
          <w:rFonts w:asciiTheme="minorEastAsia" w:hAnsiTheme="minorEastAsia" w:cstheme="minorEastAsia" w:hint="eastAsia"/>
          <w:b/>
          <w:bCs/>
          <w:sz w:val="24"/>
        </w:rPr>
      </w:pPr>
      <w:r>
        <w:rPr>
          <w:rFonts w:asciiTheme="minorEastAsia" w:hAnsiTheme="minorEastAsia" w:cstheme="minorEastAsia" w:hint="eastAsia"/>
          <w:b/>
          <w:bCs/>
          <w:sz w:val="24"/>
        </w:rPr>
        <w:t>收费标准：</w:t>
      </w:r>
    </w:p>
    <w:p w14:paraId="0CC37F45" w14:textId="77777777" w:rsidR="00CB48C5" w:rsidRDefault="00CB48C5">
      <w:pPr>
        <w:snapToGrid w:val="0"/>
        <w:spacing w:line="480" w:lineRule="auto"/>
        <w:contextualSpacing/>
        <w:rPr>
          <w:rFonts w:asciiTheme="minorEastAsia" w:hAnsiTheme="minorEastAsia" w:cstheme="minorEastAsia" w:hint="eastAsia"/>
          <w:szCs w:val="21"/>
        </w:rPr>
      </w:pPr>
    </w:p>
    <w:p w14:paraId="42F62BAB" w14:textId="1B4808B6" w:rsidR="00CB48C5" w:rsidRDefault="00000000">
      <w:pPr>
        <w:snapToGrid w:val="0"/>
        <w:spacing w:line="480" w:lineRule="auto"/>
        <w:ind w:firstLineChars="200" w:firstLine="422"/>
        <w:contextualSpacing/>
        <w:rPr>
          <w:rFonts w:asciiTheme="minorEastAsia" w:hAnsiTheme="minorEastAsia" w:cstheme="minorEastAsia" w:hint="eastAsia"/>
          <w:b/>
          <w:bCs/>
          <w:sz w:val="24"/>
        </w:rPr>
      </w:pPr>
      <w:r>
        <w:rPr>
          <w:rFonts w:asciiTheme="minorEastAsia" w:hAnsiTheme="minorEastAsia" w:cstheme="minorEastAsia" w:hint="eastAsia"/>
          <w:b/>
          <w:bCs/>
          <w:szCs w:val="21"/>
        </w:rPr>
        <w:t>学费：</w:t>
      </w:r>
      <w:r>
        <w:rPr>
          <w:rFonts w:asciiTheme="minorEastAsia" w:hAnsiTheme="minorEastAsia" w:cstheme="minorEastAsia" w:hint="eastAsia"/>
          <w:szCs w:val="21"/>
        </w:rPr>
        <w:t>按阶段缴纳学费，课程考核阶段20,000元/人</w:t>
      </w:r>
      <w:r w:rsidR="00D6185E">
        <w:rPr>
          <w:rFonts w:asciiTheme="minorEastAsia" w:hAnsiTheme="minorEastAsia" w:cstheme="minorEastAsia" w:hint="eastAsia"/>
          <w:szCs w:val="21"/>
        </w:rPr>
        <w:t>（含学费</w:t>
      </w:r>
      <w:r w:rsidR="00CF00CD">
        <w:rPr>
          <w:rFonts w:asciiTheme="minorEastAsia" w:hAnsiTheme="minorEastAsia" w:cstheme="minorEastAsia" w:hint="eastAsia"/>
          <w:szCs w:val="21"/>
        </w:rPr>
        <w:t>15000元</w:t>
      </w:r>
      <w:r w:rsidR="00D6185E">
        <w:rPr>
          <w:rFonts w:asciiTheme="minorEastAsia" w:hAnsiTheme="minorEastAsia" w:cstheme="minorEastAsia" w:hint="eastAsia"/>
          <w:szCs w:val="21"/>
        </w:rPr>
        <w:t>、学习平台费</w:t>
      </w:r>
      <w:r w:rsidR="00CF00CD">
        <w:rPr>
          <w:rFonts w:asciiTheme="minorEastAsia" w:hAnsiTheme="minorEastAsia" w:cstheme="minorEastAsia" w:hint="eastAsia"/>
          <w:szCs w:val="21"/>
        </w:rPr>
        <w:t>5000元</w:t>
      </w:r>
      <w:r w:rsidR="00D6185E">
        <w:rPr>
          <w:rFonts w:asciiTheme="minorEastAsia" w:hAnsiTheme="minorEastAsia" w:cstheme="minorEastAsia" w:hint="eastAsia"/>
          <w:szCs w:val="21"/>
        </w:rPr>
        <w:t>）</w:t>
      </w:r>
      <w:r>
        <w:rPr>
          <w:rFonts w:asciiTheme="minorEastAsia" w:hAnsiTheme="minorEastAsia" w:cstheme="minorEastAsia" w:hint="eastAsia"/>
          <w:szCs w:val="21"/>
        </w:rPr>
        <w:t>；学位申请及授予阶段15,000元/人</w:t>
      </w:r>
      <w:r w:rsidR="00D6185E">
        <w:rPr>
          <w:rFonts w:asciiTheme="minorEastAsia" w:hAnsiTheme="minorEastAsia" w:cstheme="minorEastAsia" w:hint="eastAsia"/>
          <w:szCs w:val="21"/>
        </w:rPr>
        <w:t>。</w:t>
      </w:r>
      <w:r w:rsidR="00D6185E">
        <w:rPr>
          <w:rFonts w:asciiTheme="minorEastAsia" w:hAnsiTheme="minorEastAsia" w:cstheme="minorEastAsia" w:hint="eastAsia"/>
          <w:b/>
          <w:bCs/>
          <w:sz w:val="24"/>
        </w:rPr>
        <w:t xml:space="preserve"> </w:t>
      </w:r>
    </w:p>
    <w:p w14:paraId="78F62266" w14:textId="77777777" w:rsidR="00CB48C5" w:rsidRDefault="00CB48C5">
      <w:pPr>
        <w:rPr>
          <w:rFonts w:asciiTheme="minorEastAsia" w:hAnsiTheme="minorEastAsia" w:cstheme="minorEastAsia" w:hint="eastAsia"/>
          <w:b/>
          <w:bCs/>
          <w:sz w:val="24"/>
        </w:rPr>
      </w:pPr>
    </w:p>
    <w:p w14:paraId="33ADE23F" w14:textId="46D7AF0A" w:rsidR="00CB48C5" w:rsidRDefault="00000000" w:rsidP="00961BAF">
      <w:pPr>
        <w:numPr>
          <w:ilvl w:val="0"/>
          <w:numId w:val="1"/>
        </w:numPr>
        <w:rPr>
          <w:rFonts w:asciiTheme="minorEastAsia" w:hAnsiTheme="minorEastAsia" w:cstheme="minorEastAsia"/>
          <w:b/>
          <w:bCs/>
          <w:sz w:val="24"/>
        </w:rPr>
      </w:pPr>
      <w:r>
        <w:rPr>
          <w:rFonts w:asciiTheme="minorEastAsia" w:hAnsiTheme="minorEastAsia" w:cstheme="minorEastAsia" w:hint="eastAsia"/>
          <w:b/>
          <w:bCs/>
          <w:sz w:val="24"/>
        </w:rPr>
        <w:t>获取证书：</w:t>
      </w:r>
    </w:p>
    <w:p w14:paraId="7AD4E99F" w14:textId="77777777" w:rsidR="00961BAF" w:rsidRPr="00961BAF" w:rsidRDefault="00961BAF" w:rsidP="00961BAF">
      <w:pPr>
        <w:rPr>
          <w:rFonts w:asciiTheme="minorEastAsia" w:hAnsiTheme="minorEastAsia" w:cstheme="minorEastAsia" w:hint="eastAsia"/>
          <w:b/>
          <w:bCs/>
          <w:sz w:val="24"/>
        </w:rPr>
      </w:pPr>
    </w:p>
    <w:p w14:paraId="30CD61F4" w14:textId="77777777" w:rsidR="00CB48C5" w:rsidRDefault="00000000">
      <w:pPr>
        <w:snapToGrid w:val="0"/>
        <w:spacing w:line="480" w:lineRule="auto"/>
        <w:ind w:firstLineChars="200" w:firstLine="420"/>
        <w:contextualSpacing/>
        <w:rPr>
          <w:rFonts w:asciiTheme="minorEastAsia" w:hAnsiTheme="minorEastAsia" w:cstheme="minorEastAsia" w:hint="eastAsia"/>
          <w:b/>
          <w:bCs/>
          <w:sz w:val="24"/>
        </w:rPr>
      </w:pPr>
      <w:r>
        <w:rPr>
          <w:rFonts w:asciiTheme="minorEastAsia" w:hAnsiTheme="minorEastAsia" w:cstheme="minorEastAsia" w:hint="eastAsia"/>
          <w:szCs w:val="21"/>
        </w:rPr>
        <w:t>对通过课程考核、同等学力人员申请硕士学位全国统一考试和学位论文答辩的申请人，经学校学位评定委员会批准，授予硕士学位，颁发硕士学位证书。</w:t>
      </w:r>
    </w:p>
    <w:p w14:paraId="1B1F21AA" w14:textId="551368DA" w:rsidR="00CB48C5" w:rsidRDefault="00CB48C5" w:rsidP="00961BAF">
      <w:pPr>
        <w:snapToGrid w:val="0"/>
        <w:spacing w:line="480" w:lineRule="auto"/>
        <w:contextualSpacing/>
        <w:rPr>
          <w:rFonts w:asciiTheme="minorEastAsia" w:hAnsiTheme="minorEastAsia" w:cstheme="minorEastAsia" w:hint="eastAsia"/>
          <w:b/>
          <w:bCs/>
          <w:sz w:val="24"/>
        </w:rPr>
      </w:pPr>
    </w:p>
    <w:sectPr w:rsidR="00CB48C5">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B03F0" w14:textId="77777777" w:rsidR="007E64D4" w:rsidRDefault="007E64D4">
      <w:r>
        <w:separator/>
      </w:r>
    </w:p>
  </w:endnote>
  <w:endnote w:type="continuationSeparator" w:id="0">
    <w:p w14:paraId="4EBE2849" w14:textId="77777777" w:rsidR="007E64D4" w:rsidRDefault="007E6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D95F9" w14:textId="77777777" w:rsidR="007E64D4" w:rsidRDefault="007E64D4">
      <w:r>
        <w:separator/>
      </w:r>
    </w:p>
  </w:footnote>
  <w:footnote w:type="continuationSeparator" w:id="0">
    <w:p w14:paraId="586ED5C2" w14:textId="77777777" w:rsidR="007E64D4" w:rsidRDefault="007E64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226F2" w14:textId="77777777" w:rsidR="00CB48C5" w:rsidRDefault="00000000">
    <w:pPr>
      <w:pStyle w:val="a4"/>
    </w:pPr>
    <w:r>
      <w:rPr>
        <w:noProof/>
      </w:rPr>
      <w:drawing>
        <wp:anchor distT="0" distB="0" distL="114300" distR="114300" simplePos="0" relativeHeight="251659264" behindDoc="1" locked="0" layoutInCell="1" allowOverlap="1" wp14:anchorId="2032ABB9" wp14:editId="52F28B4F">
          <wp:simplePos x="0" y="0"/>
          <wp:positionH relativeFrom="margin">
            <wp:align>center</wp:align>
          </wp:positionH>
          <wp:positionV relativeFrom="margin">
            <wp:align>center</wp:align>
          </wp:positionV>
          <wp:extent cx="5274310" cy="5291455"/>
          <wp:effectExtent l="0" t="0" r="2540" b="4445"/>
          <wp:wrapNone/>
          <wp:docPr id="2" name="WordPictureWatermark27469" descr="沈阳医学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7469" descr="沈阳医学院LOGO"/>
                  <pic:cNvPicPr>
                    <a:picLocks noChangeAspect="1"/>
                  </pic:cNvPicPr>
                </pic:nvPicPr>
                <pic:blipFill>
                  <a:blip r:embed="rId1">
                    <a:lum bright="69998" contrast="-70001"/>
                  </a:blip>
                  <a:stretch>
                    <a:fillRect/>
                  </a:stretch>
                </pic:blipFill>
                <pic:spPr>
                  <a:xfrm>
                    <a:off x="0" y="0"/>
                    <a:ext cx="5274310" cy="52914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280627"/>
    <w:multiLevelType w:val="singleLevel"/>
    <w:tmpl w:val="C8280627"/>
    <w:lvl w:ilvl="0">
      <w:start w:val="1"/>
      <w:numFmt w:val="chineseCounting"/>
      <w:suff w:val="nothing"/>
      <w:lvlText w:val="%1、"/>
      <w:lvlJc w:val="left"/>
      <w:rPr>
        <w:rFonts w:hint="eastAsia"/>
      </w:rPr>
    </w:lvl>
  </w:abstractNum>
  <w:num w:numId="1" w16cid:durableId="953829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Q5ODQ5N2Q1NmI0ZDAwYTJiMTcyMmU3ZjhhMWE4NmEifQ=="/>
  </w:docVars>
  <w:rsids>
    <w:rsidRoot w:val="3898019C"/>
    <w:rsid w:val="00110F4F"/>
    <w:rsid w:val="005503EF"/>
    <w:rsid w:val="007E64D4"/>
    <w:rsid w:val="00961BAF"/>
    <w:rsid w:val="00CB48C5"/>
    <w:rsid w:val="00CF00CD"/>
    <w:rsid w:val="00D6185E"/>
    <w:rsid w:val="0F3D0531"/>
    <w:rsid w:val="32B67A1F"/>
    <w:rsid w:val="3898019C"/>
    <w:rsid w:val="4CF66DFB"/>
    <w:rsid w:val="5EB95EDC"/>
    <w:rsid w:val="5F3B064B"/>
    <w:rsid w:val="62975497"/>
    <w:rsid w:val="71787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955AD4"/>
  <w15:docId w15:val="{F7C8AD53-B51A-432D-BB0F-C0CCCEB97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qFormat/>
    <w:pPr>
      <w:tabs>
        <w:tab w:val="center" w:pos="4153"/>
        <w:tab w:val="right" w:pos="8306"/>
      </w:tabs>
      <w:snapToGrid w:val="0"/>
      <w:jc w:val="left"/>
    </w:pPr>
    <w:rPr>
      <w:sz w:val="18"/>
    </w:rPr>
  </w:style>
  <w:style w:type="paragraph" w:styleId="a4">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autoRedefine/>
    <w:qFormat/>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309</Words>
  <Characters>1766</Characters>
  <Application>Microsoft Office Word</Application>
  <DocSecurity>0</DocSecurity>
  <Lines>14</Lines>
  <Paragraphs>4</Paragraphs>
  <ScaleCrop>false</ScaleCrop>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方源 杨</cp:lastModifiedBy>
  <cp:revision>5</cp:revision>
  <dcterms:created xsi:type="dcterms:W3CDTF">2022-06-06T07:29:00Z</dcterms:created>
  <dcterms:modified xsi:type="dcterms:W3CDTF">2026-01-15T14:49:00Z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B95EB3444D5247C68580823897555D70</vt:lpwstr>
  </property>
</Properties>
</file>