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ECB64">
      <w:pPr>
        <w:keepNext w:val="0"/>
        <w:keepLines w:val="0"/>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drawing>
          <wp:inline distT="0" distB="0" distL="114300" distR="114300">
            <wp:extent cx="4306570" cy="1043940"/>
            <wp:effectExtent l="0" t="0" r="17780" b="3810"/>
            <wp:docPr id="2" name="图片 2"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ogo2"/>
                    <pic:cNvPicPr>
                      <a:picLocks noChangeAspect="1"/>
                    </pic:cNvPicPr>
                  </pic:nvPicPr>
                  <pic:blipFill>
                    <a:blip r:embed="rId5"/>
                    <a:stretch>
                      <a:fillRect/>
                    </a:stretch>
                  </pic:blipFill>
                  <pic:spPr>
                    <a:xfrm>
                      <a:off x="0" y="0"/>
                      <a:ext cx="4306570" cy="1043940"/>
                    </a:xfrm>
                    <a:prstGeom prst="rect">
                      <a:avLst/>
                    </a:prstGeom>
                  </pic:spPr>
                </pic:pic>
              </a:graphicData>
            </a:graphic>
          </wp:inline>
        </w:drawing>
      </w:r>
    </w:p>
    <w:p w14:paraId="26AC9584">
      <w:pPr>
        <w:keepNext w:val="0"/>
        <w:keepLines w:val="0"/>
        <w:pageBreakBefore w:val="0"/>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lang w:eastAsia="zh-CN"/>
        </w:rPr>
      </w:pPr>
    </w:p>
    <w:p w14:paraId="21A64929">
      <w:pPr>
        <w:keepNext w:val="0"/>
        <w:keepLines w:val="0"/>
        <w:pageBreakBefore w:val="0"/>
        <w:kinsoku/>
        <w:wordWrap/>
        <w:overflowPunct/>
        <w:topLinePunct w:val="0"/>
        <w:autoSpaceDE/>
        <w:autoSpaceDN/>
        <w:bidi w:val="0"/>
        <w:adjustRightInd/>
        <w:spacing w:line="360" w:lineRule="auto"/>
        <w:ind w:left="2891" w:hanging="2891" w:hangingChars="900"/>
        <w:contextualSpacing/>
        <w:jc w:val="center"/>
        <w:textAlignment w:val="auto"/>
        <w:rPr>
          <w:rFonts w:hint="eastAsia" w:asciiTheme="minorEastAsia" w:hAnsiTheme="minorEastAsia" w:eastAsiaTheme="minorEastAsia" w:cstheme="minorEastAsia"/>
          <w:b/>
          <w:bCs w:val="0"/>
          <w:color w:val="auto"/>
          <w:sz w:val="32"/>
          <w:szCs w:val="32"/>
        </w:rPr>
      </w:pPr>
      <w:r>
        <w:rPr>
          <w:rFonts w:hint="eastAsia" w:asciiTheme="minorEastAsia" w:hAnsiTheme="minorEastAsia" w:eastAsiaTheme="minorEastAsia" w:cstheme="minorEastAsia"/>
          <w:b/>
          <w:bCs w:val="0"/>
          <w:color w:val="auto"/>
          <w:sz w:val="32"/>
          <w:szCs w:val="32"/>
          <w:lang w:val="en-US" w:eastAsia="zh-CN"/>
        </w:rPr>
        <w:t>上海对外经贸大学金融学专业</w:t>
      </w:r>
      <w:r>
        <w:rPr>
          <w:rFonts w:hint="eastAsia" w:asciiTheme="minorEastAsia" w:hAnsiTheme="minorEastAsia" w:eastAsiaTheme="minorEastAsia" w:cstheme="minorEastAsia"/>
          <w:b/>
          <w:bCs w:val="0"/>
          <w:color w:val="auto"/>
          <w:sz w:val="32"/>
          <w:szCs w:val="32"/>
        </w:rPr>
        <w:t>课程高级培训班</w:t>
      </w:r>
    </w:p>
    <w:p w14:paraId="1FA4F456">
      <w:pPr>
        <w:keepNext w:val="0"/>
        <w:keepLines w:val="0"/>
        <w:pageBreakBefore w:val="0"/>
        <w:kinsoku/>
        <w:wordWrap/>
        <w:overflowPunct/>
        <w:topLinePunct w:val="0"/>
        <w:autoSpaceDE/>
        <w:autoSpaceDN/>
        <w:bidi w:val="0"/>
        <w:adjustRightInd/>
        <w:spacing w:line="360" w:lineRule="auto"/>
        <w:ind w:left="2891" w:hanging="2891" w:hangingChars="900"/>
        <w:contextualSpacing/>
        <w:jc w:val="center"/>
        <w:textAlignment w:val="auto"/>
        <w:rPr>
          <w:rFonts w:hint="eastAsia" w:asciiTheme="minorEastAsia" w:hAnsiTheme="minorEastAsia" w:eastAsiaTheme="minorEastAsia" w:cstheme="minorEastAsia"/>
          <w:b/>
          <w:bCs w:val="0"/>
          <w:color w:val="auto"/>
          <w:sz w:val="32"/>
          <w:szCs w:val="32"/>
        </w:rPr>
      </w:pPr>
      <w:r>
        <w:rPr>
          <w:rFonts w:hint="eastAsia" w:asciiTheme="minorEastAsia" w:hAnsiTheme="minorEastAsia" w:eastAsiaTheme="minorEastAsia" w:cstheme="minorEastAsia"/>
          <w:b/>
          <w:bCs w:val="0"/>
          <w:color w:val="auto"/>
          <w:sz w:val="32"/>
          <w:szCs w:val="32"/>
        </w:rPr>
        <w:t>招生简章</w:t>
      </w:r>
    </w:p>
    <w:p w14:paraId="1CA6B978">
      <w:pPr>
        <w:keepNext w:val="0"/>
        <w:keepLines w:val="0"/>
        <w:pageBreakBefore w:val="0"/>
        <w:kinsoku/>
        <w:wordWrap/>
        <w:overflowPunct/>
        <w:topLinePunct w:val="0"/>
        <w:autoSpaceDE/>
        <w:autoSpaceDN/>
        <w:bidi w:val="0"/>
        <w:adjustRightInd/>
        <w:spacing w:line="360" w:lineRule="auto"/>
        <w:ind w:firstLine="2940" w:firstLineChars="1400"/>
        <w:contextualSpacing/>
        <w:textAlignment w:val="auto"/>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rPr>
        <w:t xml:space="preserve">   </w:t>
      </w:r>
    </w:p>
    <w:p w14:paraId="00085955">
      <w:pPr>
        <w:keepNext w:val="0"/>
        <w:keepLines w:val="0"/>
        <w:pageBreakBefore w:val="0"/>
        <w:numPr>
          <w:ilvl w:val="0"/>
          <w:numId w:val="1"/>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val="en-US" w:eastAsia="zh-CN"/>
        </w:rPr>
        <w:t>院校简介</w:t>
      </w:r>
    </w:p>
    <w:p w14:paraId="6CFEF52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上海对外经贸大学（前身上海对外贸易学院）创建于1960年，是原国家对外贸易部最早设置的两所本科高校之一，被誉为“中国对外经贸人才的摇篮”。1994年，学校划归上海市人民政府管理；2009年，入选世界首批、中国首家WTO讲席院校；2013年，更名为上海对外经贸大学；2019年，获得WTO亚太培训中心资格,成为WTO全球7个培训伙伴中在中国内地设立的唯一区域培训合作伙伴；2021年，经国务院学位委员会批准，成为博士学位授予单位，应用经济学成为一级学科博士学位授权点,跻身上海市重点建设的高水平地方高校行列。</w:t>
      </w:r>
    </w:p>
    <w:p w14:paraId="22D1209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学校因贸易强国而生、因对外开放而兴、因全面改革而盛、因新时代开放事业而新，经过60余年的发展，已构建起特色鲜明、优势突出的本硕博一体化人才培养体系，在高层次、应用型、国际化经贸人才培养和国际经贸领域决策咨询研究方面取得丰硕成果，综合办学实力显著提升。</w:t>
      </w:r>
    </w:p>
    <w:p w14:paraId="701E72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随着金融全球化进程不断加剧，我国对金融市场的发展创新和规划，需金融市场人才的投入来更加稳定和谐创建。为了更好的社会输送精英人才，</w:t>
      </w:r>
      <w:r>
        <w:rPr>
          <w:rFonts w:hint="eastAsia" w:asciiTheme="minorEastAsia" w:hAnsiTheme="minorEastAsia" w:cstheme="minorEastAsia"/>
          <w:color w:val="auto"/>
          <w:sz w:val="21"/>
          <w:szCs w:val="21"/>
          <w:lang w:val="en-US" w:eastAsia="zh-CN"/>
        </w:rPr>
        <w:t>目前，</w:t>
      </w:r>
      <w:r>
        <w:rPr>
          <w:rFonts w:hint="eastAsia" w:asciiTheme="minorEastAsia" w:hAnsiTheme="minorEastAsia" w:eastAsiaTheme="minorEastAsia" w:cstheme="minorEastAsia"/>
          <w:color w:val="auto"/>
          <w:sz w:val="21"/>
          <w:szCs w:val="21"/>
          <w:lang w:val="en-US" w:eastAsia="zh-CN"/>
        </w:rPr>
        <w:t>上海对外经贸大学特开设金融学专业（包含国际金融方向、商业银行经营与管理方向、证券投资方向）高级培训班，以满足政府、各类金融机构以及企事业单位和社会各企业等高端金融人士的需求。</w:t>
      </w:r>
      <w:r>
        <w:rPr>
          <w:rFonts w:hint="eastAsia" w:asciiTheme="minorEastAsia" w:hAnsiTheme="minorEastAsia" w:eastAsiaTheme="minorEastAsia" w:cstheme="minorEastAsia"/>
          <w:color w:val="auto"/>
          <w:sz w:val="21"/>
          <w:szCs w:val="21"/>
        </w:rPr>
        <w:t>提高从事资产管理、金融市场投资、财富管理和养老金策划、社会保障等领域在职人员的专业理论水平</w:t>
      </w:r>
      <w:r>
        <w:rPr>
          <w:rFonts w:hint="eastAsia" w:asciiTheme="minorEastAsia" w:hAnsiTheme="minorEastAsia" w:eastAsiaTheme="minorEastAsia" w:cstheme="minorEastAsia"/>
          <w:color w:val="auto"/>
          <w:sz w:val="21"/>
          <w:szCs w:val="21"/>
          <w:lang w:eastAsia="zh-CN"/>
        </w:rPr>
        <w:t>。</w:t>
      </w:r>
    </w:p>
    <w:p w14:paraId="6D0DB509">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20F14395">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22F13C73">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1FCC0775">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5BD6943B">
      <w:pPr>
        <w:keepNext w:val="0"/>
        <w:keepLines w:val="0"/>
        <w:pageBreakBefore w:val="0"/>
        <w:numPr>
          <w:ilvl w:val="0"/>
          <w:numId w:val="1"/>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培养目标</w:t>
      </w:r>
    </w:p>
    <w:p w14:paraId="656DF114">
      <w:pPr>
        <w:keepNext w:val="0"/>
        <w:keepLines w:val="0"/>
        <w:pageBreakBefore w:val="0"/>
        <w:widowControl/>
        <w:kinsoku/>
        <w:wordWrap/>
        <w:overflowPunct/>
        <w:topLinePunct w:val="0"/>
        <w:autoSpaceDE/>
        <w:autoSpaceDN/>
        <w:bidi w:val="0"/>
        <w:adjustRightInd/>
        <w:spacing w:line="360" w:lineRule="auto"/>
        <w:ind w:firstLine="420" w:firstLineChars="200"/>
        <w:jc w:val="left"/>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本专业主要是培养兼具科技创新能力和金融市场能力的复合型、国际化科技成果转化领军人才，以卓越的创新、金融、管理综合能力，促进科技成果与金融力量相结合形成生产力，推动我国经济高质量发展。</w:t>
      </w:r>
      <w:r>
        <w:rPr>
          <w:rFonts w:hint="eastAsia" w:asciiTheme="minorEastAsia" w:hAnsiTheme="minorEastAsia" w:eastAsiaTheme="minorEastAsia" w:cstheme="minorEastAsia"/>
          <w:color w:val="auto"/>
          <w:sz w:val="21"/>
          <w:szCs w:val="21"/>
        </w:rPr>
        <w:t xml:space="preserve">学员通过系统学习金融投资与风险管理的理论方法以及应用实践，建立金融学理论的厚实功底，拓展资本运作方法，剖析金融投资模式，培养具有金融思维和掌握金融投资业务与创新的前沿理论和实务的专业人才。 </w:t>
      </w:r>
    </w:p>
    <w:p w14:paraId="7E61C16C">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0AF92A62">
      <w:pPr>
        <w:keepNext w:val="0"/>
        <w:keepLines w:val="0"/>
        <w:pageBreakBefore w:val="0"/>
        <w:numPr>
          <w:ilvl w:val="0"/>
          <w:numId w:val="1"/>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特色优势</w:t>
      </w:r>
    </w:p>
    <w:p w14:paraId="2C1B62E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1、【外贸实力雄厚】</w:t>
      </w:r>
      <w:r>
        <w:rPr>
          <w:rFonts w:hint="eastAsia" w:asciiTheme="minorEastAsia" w:hAnsiTheme="minorEastAsia" w:eastAsiaTheme="minorEastAsia" w:cstheme="minorEastAsia"/>
          <w:color w:val="auto"/>
          <w:sz w:val="21"/>
          <w:szCs w:val="21"/>
        </w:rPr>
        <w:t>上海对外经贸大学被誉为“中国对外经贸人才的摇篮”</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lang w:val="en-US" w:eastAsia="zh-CN"/>
        </w:rPr>
        <w:t>是</w:t>
      </w:r>
      <w:r>
        <w:rPr>
          <w:rFonts w:hint="eastAsia" w:asciiTheme="minorEastAsia" w:hAnsiTheme="minorEastAsia" w:eastAsiaTheme="minorEastAsia" w:cstheme="minorEastAsia"/>
          <w:color w:val="auto"/>
          <w:sz w:val="21"/>
          <w:szCs w:val="21"/>
        </w:rPr>
        <w:t>WTO全球7个培训伙伴中在中国内地设立的唯一区域培训合作伙伴</w:t>
      </w:r>
      <w:r>
        <w:rPr>
          <w:rFonts w:hint="eastAsia" w:asciiTheme="minorEastAsia" w:hAnsiTheme="minorEastAsia" w:eastAsiaTheme="minorEastAsia" w:cstheme="minorEastAsia"/>
          <w:color w:val="auto"/>
          <w:sz w:val="21"/>
          <w:szCs w:val="21"/>
          <w:lang w:eastAsia="zh-CN"/>
        </w:rPr>
        <w:t>；</w:t>
      </w:r>
    </w:p>
    <w:p w14:paraId="71F7D3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2、【正规硕士教育】：科学完整的课程体系，符合条件者可申请硕士学位；</w:t>
      </w:r>
    </w:p>
    <w:p w14:paraId="6D69720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3、【免试审核入学】：采取资格审核方式入学，免试入学；</w:t>
      </w:r>
    </w:p>
    <w:p w14:paraId="10BE3D1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4、【多次申硕机会】：可以多次参加申硕全国统考；</w:t>
      </w:r>
    </w:p>
    <w:p w14:paraId="44CEFD0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5、【共享学校资源】：可享受与在校生同等的电子数据资源，获得我校校友会会员资格。</w:t>
      </w:r>
    </w:p>
    <w:p w14:paraId="18753A6B">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06EF9B6F">
      <w:pPr>
        <w:keepNext w:val="0"/>
        <w:keepLines w:val="0"/>
        <w:pageBreakBefore w:val="0"/>
        <w:numPr>
          <w:ilvl w:val="0"/>
          <w:numId w:val="1"/>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课程设置</w:t>
      </w:r>
    </w:p>
    <w:tbl>
      <w:tblPr>
        <w:tblStyle w:val="5"/>
        <w:tblW w:w="8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4"/>
        <w:gridCol w:w="2475"/>
        <w:gridCol w:w="3254"/>
        <w:gridCol w:w="6"/>
      </w:tblGrid>
      <w:tr w14:paraId="5A03B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trPr>
        <w:tc>
          <w:tcPr>
            <w:tcW w:w="8399" w:type="dxa"/>
            <w:gridSpan w:val="4"/>
            <w:noWrap w:val="0"/>
            <w:vAlign w:val="top"/>
          </w:tcPr>
          <w:p w14:paraId="03C2FE8F">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b/>
                <w:bCs/>
                <w:color w:val="auto"/>
                <w:sz w:val="21"/>
                <w:szCs w:val="21"/>
                <w:lang w:val="en-US" w:eastAsia="zh-CN"/>
              </w:rPr>
              <w:t>金融学</w:t>
            </w:r>
            <w:r>
              <w:rPr>
                <w:rFonts w:hint="eastAsia" w:asciiTheme="minorEastAsia" w:hAnsiTheme="minorEastAsia" w:eastAsiaTheme="minorEastAsia" w:cstheme="minorEastAsia"/>
                <w:b/>
                <w:bCs/>
                <w:color w:val="auto"/>
                <w:sz w:val="21"/>
                <w:szCs w:val="21"/>
              </w:rPr>
              <w:t>专业课程设置</w:t>
            </w:r>
          </w:p>
        </w:tc>
      </w:tr>
      <w:tr w14:paraId="493B1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30" w:hRule="atLeast"/>
        </w:trPr>
        <w:tc>
          <w:tcPr>
            <w:tcW w:w="2664" w:type="dxa"/>
            <w:noWrap w:val="0"/>
            <w:vAlign w:val="top"/>
          </w:tcPr>
          <w:p w14:paraId="7A060E15">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社会主义经济理论</w:t>
            </w:r>
          </w:p>
        </w:tc>
        <w:tc>
          <w:tcPr>
            <w:tcW w:w="2475" w:type="dxa"/>
            <w:noWrap w:val="0"/>
            <w:vAlign w:val="top"/>
          </w:tcPr>
          <w:p w14:paraId="7F5570AE">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英语听说</w:t>
            </w:r>
          </w:p>
        </w:tc>
        <w:tc>
          <w:tcPr>
            <w:tcW w:w="3254" w:type="dxa"/>
            <w:noWrap w:val="0"/>
            <w:vAlign w:val="top"/>
          </w:tcPr>
          <w:p w14:paraId="7F9728FF">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综合英语</w:t>
            </w:r>
          </w:p>
        </w:tc>
      </w:tr>
      <w:tr w14:paraId="2F0E0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90" w:hRule="atLeast"/>
        </w:trPr>
        <w:tc>
          <w:tcPr>
            <w:tcW w:w="2664" w:type="dxa"/>
            <w:noWrap w:val="0"/>
            <w:vAlign w:val="top"/>
          </w:tcPr>
          <w:p w14:paraId="1652836C">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高级微观经济学</w:t>
            </w:r>
          </w:p>
        </w:tc>
        <w:tc>
          <w:tcPr>
            <w:tcW w:w="2475" w:type="dxa"/>
            <w:noWrap w:val="0"/>
            <w:vAlign w:val="top"/>
          </w:tcPr>
          <w:p w14:paraId="1BCEE340">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国际经济学</w:t>
            </w:r>
          </w:p>
        </w:tc>
        <w:tc>
          <w:tcPr>
            <w:tcW w:w="3254" w:type="dxa"/>
            <w:noWrap w:val="0"/>
            <w:vAlign w:val="top"/>
          </w:tcPr>
          <w:p w14:paraId="16FCCD8E">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保险</w:t>
            </w:r>
            <w:r>
              <w:rPr>
                <w:rFonts w:hint="eastAsia" w:asciiTheme="minorEastAsia" w:hAnsiTheme="minorEastAsia" w:cstheme="minorEastAsia"/>
                <w:color w:val="auto"/>
                <w:sz w:val="21"/>
                <w:szCs w:val="21"/>
                <w:lang w:val="en-US" w:eastAsia="zh-CN"/>
              </w:rPr>
              <w:t>专题</w:t>
            </w:r>
          </w:p>
        </w:tc>
      </w:tr>
      <w:tr w14:paraId="5048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30" w:hRule="atLeast"/>
        </w:trPr>
        <w:tc>
          <w:tcPr>
            <w:tcW w:w="2664" w:type="dxa"/>
            <w:noWrap w:val="0"/>
            <w:vAlign w:val="top"/>
          </w:tcPr>
          <w:p w14:paraId="68D41BC7">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高级宏观经济学</w:t>
            </w:r>
          </w:p>
        </w:tc>
        <w:tc>
          <w:tcPr>
            <w:tcW w:w="2475" w:type="dxa"/>
            <w:noWrap w:val="0"/>
            <w:vAlign w:val="top"/>
          </w:tcPr>
          <w:p w14:paraId="4737F543">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财政学</w:t>
            </w:r>
          </w:p>
        </w:tc>
        <w:tc>
          <w:tcPr>
            <w:tcW w:w="3254" w:type="dxa"/>
            <w:noWrap w:val="0"/>
            <w:vAlign w:val="top"/>
          </w:tcPr>
          <w:p w14:paraId="7FBC9DBD">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cstheme="minorEastAsia"/>
                <w:color w:val="auto"/>
                <w:sz w:val="21"/>
                <w:szCs w:val="21"/>
                <w:lang w:val="en-US" w:eastAsia="zh-CN"/>
              </w:rPr>
              <w:t>投资专题</w:t>
            </w:r>
          </w:p>
        </w:tc>
      </w:tr>
      <w:tr w14:paraId="08E8B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6" w:type="dxa"/>
          <w:trHeight w:val="530" w:hRule="atLeast"/>
        </w:trPr>
        <w:tc>
          <w:tcPr>
            <w:tcW w:w="2664" w:type="dxa"/>
            <w:noWrap w:val="0"/>
            <w:vAlign w:val="top"/>
          </w:tcPr>
          <w:p w14:paraId="42084E07">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市场营销学</w:t>
            </w:r>
          </w:p>
        </w:tc>
        <w:tc>
          <w:tcPr>
            <w:tcW w:w="2475" w:type="dxa"/>
            <w:noWrap w:val="0"/>
            <w:vAlign w:val="top"/>
          </w:tcPr>
          <w:p w14:paraId="4D4DE7CA">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货币银行学</w:t>
            </w:r>
          </w:p>
        </w:tc>
        <w:tc>
          <w:tcPr>
            <w:tcW w:w="3254" w:type="dxa"/>
            <w:noWrap w:val="0"/>
            <w:vAlign w:val="top"/>
          </w:tcPr>
          <w:p w14:paraId="1E7DD604">
            <w:pPr>
              <w:keepNext w:val="0"/>
              <w:keepLines w:val="0"/>
              <w:pageBreakBefore w:val="0"/>
              <w:widowControl/>
              <w:kinsoku/>
              <w:wordWrap/>
              <w:overflowPunct/>
              <w:topLinePunct w:val="0"/>
              <w:autoSpaceDE/>
              <w:autoSpaceDN/>
              <w:bidi w:val="0"/>
              <w:adjustRightInd/>
              <w:spacing w:before="100" w:beforeAutospacing="1" w:after="100" w:afterAutospacing="1" w:line="360" w:lineRule="auto"/>
              <w:contextualSpacing/>
              <w:jc w:val="center"/>
              <w:textAlignment w:val="auto"/>
              <w:outlineLvl w:val="2"/>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财务管理</w:t>
            </w:r>
          </w:p>
        </w:tc>
      </w:tr>
    </w:tbl>
    <w:p w14:paraId="22BD75C6">
      <w:pPr>
        <w:pStyle w:val="4"/>
        <w:keepNext w:val="0"/>
        <w:keepLines w:val="0"/>
        <w:pageBreakBefore w:val="0"/>
        <w:kinsoku/>
        <w:wordWrap/>
        <w:overflowPunct/>
        <w:topLinePunct w:val="0"/>
        <w:autoSpaceDE/>
        <w:autoSpaceDN/>
        <w:bidi w:val="0"/>
        <w:adjustRightInd/>
        <w:snapToGrid w:val="0"/>
        <w:spacing w:line="360" w:lineRule="auto"/>
        <w:ind w:firstLine="2520" w:firstLineChars="1200"/>
        <w:contextualSpacing/>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rPr>
        <w:t>注：部分</w:t>
      </w:r>
      <w:r>
        <w:rPr>
          <w:rFonts w:hint="eastAsia" w:asciiTheme="minorEastAsia" w:hAnsiTheme="minorEastAsia" w:eastAsiaTheme="minorEastAsia" w:cstheme="minorEastAsia"/>
          <w:color w:val="auto"/>
          <w:sz w:val="21"/>
          <w:szCs w:val="21"/>
          <w:lang w:val="en-US" w:eastAsia="zh-CN"/>
        </w:rPr>
        <w:t>方向</w:t>
      </w:r>
      <w:r>
        <w:rPr>
          <w:rFonts w:hint="eastAsia" w:asciiTheme="minorEastAsia" w:hAnsiTheme="minorEastAsia" w:eastAsiaTheme="minorEastAsia" w:cstheme="minorEastAsia"/>
          <w:color w:val="auto"/>
          <w:sz w:val="21"/>
          <w:szCs w:val="21"/>
        </w:rPr>
        <w:t>课程教学参照实际</w:t>
      </w:r>
    </w:p>
    <w:p w14:paraId="4AD7CF31">
      <w:pPr>
        <w:keepNext w:val="0"/>
        <w:keepLines w:val="0"/>
        <w:pageBreakBefore w:val="0"/>
        <w:numPr>
          <w:ilvl w:val="0"/>
          <w:numId w:val="1"/>
        </w:numPr>
        <w:kinsoku/>
        <w:wordWrap/>
        <w:overflowPunct/>
        <w:topLinePunct w:val="0"/>
        <w:autoSpaceDE/>
        <w:autoSpaceDN/>
        <w:bidi w:val="0"/>
        <w:adjustRightInd/>
        <w:spacing w:line="360" w:lineRule="auto"/>
        <w:ind w:left="210" w:leftChars="0" w:firstLineChars="0"/>
        <w:textAlignment w:val="auto"/>
        <w:rPr>
          <w:rFonts w:hint="eastAsia" w:asciiTheme="minorEastAsia" w:hAnsiTheme="minorEastAsia" w:eastAsiaTheme="minorEastAsia" w:cstheme="minorEastAsia"/>
          <w:b/>
          <w:bCs/>
          <w:color w:val="auto"/>
          <w:sz w:val="21"/>
          <w:szCs w:val="21"/>
        </w:rPr>
      </w:pPr>
      <w:r>
        <w:rPr>
          <w:rFonts w:hint="eastAsia" w:asciiTheme="minorEastAsia" w:hAnsiTheme="minorEastAsia" w:eastAsiaTheme="minorEastAsia" w:cstheme="minorEastAsia"/>
          <w:b/>
          <w:bCs/>
          <w:color w:val="auto"/>
          <w:sz w:val="21"/>
          <w:szCs w:val="21"/>
          <w:lang w:val="en-US" w:eastAsia="zh-CN"/>
        </w:rPr>
        <w:t>报考条件</w:t>
      </w:r>
    </w:p>
    <w:p w14:paraId="27130E7B">
      <w:pPr>
        <w:keepNext w:val="0"/>
        <w:keepLines w:val="0"/>
        <w:pageBreakBefore w:val="0"/>
        <w:numPr>
          <w:ilvl w:val="0"/>
          <w:numId w:val="2"/>
        </w:numPr>
        <w:kinsoku/>
        <w:wordWrap/>
        <w:overflowPunct/>
        <w:topLinePunct w:val="0"/>
        <w:autoSpaceDE/>
        <w:autoSpaceDN/>
        <w:bidi w:val="0"/>
        <w:adjustRightInd/>
        <w:spacing w:line="360" w:lineRule="auto"/>
        <w:ind w:left="420" w:leftChars="200" w:firstLine="0" w:firstLineChars="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遵纪守法，品行端正，在教学、科研、专门技术、管理等方面做出成绩的在职人</w:t>
      </w:r>
    </w:p>
    <w:p w14:paraId="57FE182E">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已获得</w:t>
      </w:r>
      <w:r>
        <w:rPr>
          <w:rFonts w:hint="eastAsia" w:asciiTheme="minorEastAsia" w:hAnsiTheme="minorEastAsia" w:eastAsiaTheme="minorEastAsia" w:cstheme="minorEastAsia"/>
          <w:color w:val="auto"/>
          <w:sz w:val="21"/>
          <w:szCs w:val="21"/>
          <w:lang w:val="en-US" w:eastAsia="zh-CN"/>
        </w:rPr>
        <w:t>本科</w:t>
      </w:r>
      <w:r>
        <w:rPr>
          <w:rFonts w:hint="eastAsia" w:asciiTheme="minorEastAsia" w:hAnsiTheme="minorEastAsia" w:eastAsiaTheme="minorEastAsia" w:cstheme="minorEastAsia"/>
          <w:color w:val="auto"/>
          <w:sz w:val="21"/>
          <w:szCs w:val="21"/>
        </w:rPr>
        <w:t>学士学位，并在获得学士学位后工作三年以上，或虽无学士学位但已获得硕士或博士学位。对已获得学士、硕士或博士学位为国(境)外学位的，其所获的国(境)外学位需经教育部留学服务中心认证；</w:t>
      </w:r>
    </w:p>
    <w:p w14:paraId="33DCB8CC">
      <w:pPr>
        <w:pStyle w:val="4"/>
        <w:keepNext w:val="0"/>
        <w:keepLines w:val="0"/>
        <w:pageBreakBefore w:val="0"/>
        <w:kinsoku/>
        <w:wordWrap/>
        <w:overflowPunct/>
        <w:topLinePunct w:val="0"/>
        <w:autoSpaceDE/>
        <w:autoSpaceDN/>
        <w:bidi w:val="0"/>
        <w:adjustRightInd/>
        <w:snapToGrid w:val="0"/>
        <w:spacing w:line="360" w:lineRule="auto"/>
        <w:contextualSpacing/>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color w:val="auto"/>
          <w:sz w:val="21"/>
          <w:szCs w:val="21"/>
        </w:rPr>
        <w:t xml:space="preserve"> </w:t>
      </w:r>
      <w:r>
        <w:rPr>
          <w:rFonts w:hint="eastAsia" w:asciiTheme="minorEastAsia" w:hAnsiTheme="minorEastAsia" w:eastAsiaTheme="minorEastAsia" w:cstheme="minorEastAsia"/>
          <w:color w:val="auto"/>
          <w:sz w:val="21"/>
          <w:szCs w:val="21"/>
          <w:lang w:val="en-US" w:eastAsia="zh-CN"/>
        </w:rPr>
        <w:t xml:space="preserve">  </w:t>
      </w:r>
      <w:r>
        <w:rPr>
          <w:rFonts w:hint="eastAsia" w:asciiTheme="minorEastAsia" w:hAnsiTheme="minorEastAsia" w:eastAsiaTheme="minorEastAsia" w:cstheme="minorEastAsia"/>
          <w:color w:val="auto"/>
          <w:sz w:val="21"/>
          <w:szCs w:val="21"/>
        </w:rPr>
        <w:t xml:space="preserve"> 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大专学历和本科学历无学士学位者，可参加高级培训班。</w:t>
      </w:r>
    </w:p>
    <w:p w14:paraId="66B9CDB8">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六、报名材料</w:t>
      </w:r>
    </w:p>
    <w:p w14:paraId="74DF6439">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1、身份证原件及复印件1份；</w:t>
      </w:r>
    </w:p>
    <w:p w14:paraId="79D48647">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2、本科毕业证原件及复印件1份；</w:t>
      </w:r>
    </w:p>
    <w:p w14:paraId="177C0B5B">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3、学士学位证书原件及复印件1份； </w:t>
      </w:r>
    </w:p>
    <w:p w14:paraId="3850F925">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4、两寸证件照片3张。</w:t>
      </w:r>
    </w:p>
    <w:p w14:paraId="756B1E53">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6EF09719">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cstheme="minorEastAsia"/>
          <w:b/>
          <w:bCs/>
          <w:color w:val="auto"/>
          <w:sz w:val="21"/>
          <w:szCs w:val="21"/>
          <w:lang w:val="en-US" w:eastAsia="zh-CN"/>
        </w:rPr>
        <w:t>七、</w:t>
      </w:r>
      <w:r>
        <w:rPr>
          <w:rFonts w:hint="eastAsia" w:asciiTheme="minorEastAsia" w:hAnsiTheme="minorEastAsia" w:eastAsiaTheme="minorEastAsia" w:cstheme="minorEastAsia"/>
          <w:b/>
          <w:bCs/>
          <w:color w:val="auto"/>
          <w:sz w:val="21"/>
          <w:szCs w:val="21"/>
          <w:lang w:val="en-US" w:eastAsia="zh-CN"/>
        </w:rPr>
        <w:t>培养方式</w:t>
      </w:r>
    </w:p>
    <w:p w14:paraId="55A4EE08">
      <w:pPr>
        <w:keepNext w:val="0"/>
        <w:keepLines w:val="0"/>
        <w:pageBreakBefore w:val="0"/>
        <w:numPr>
          <w:ilvl w:val="0"/>
          <w:numId w:val="0"/>
        </w:numPr>
        <w:kinsoku/>
        <w:wordWrap/>
        <w:overflowPunct/>
        <w:topLinePunct w:val="0"/>
        <w:autoSpaceDE/>
        <w:autoSpaceDN/>
        <w:bidi w:val="0"/>
        <w:adjustRightInd/>
        <w:spacing w:line="360" w:lineRule="auto"/>
        <w:ind w:left="210" w:leftChars="0" w:firstLine="210" w:firstLineChars="1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cstheme="minorEastAsia"/>
          <w:color w:val="auto"/>
          <w:sz w:val="21"/>
          <w:szCs w:val="21"/>
          <w:lang w:val="en-US" w:eastAsia="zh-CN"/>
        </w:rPr>
        <w:t>1、</w:t>
      </w:r>
      <w:r>
        <w:rPr>
          <w:rFonts w:hint="eastAsia" w:asciiTheme="minorEastAsia" w:hAnsiTheme="minorEastAsia" w:eastAsiaTheme="minorEastAsia" w:cstheme="minorEastAsia"/>
          <w:color w:val="auto"/>
          <w:sz w:val="21"/>
          <w:szCs w:val="21"/>
        </w:rPr>
        <w:t>在职不脱产学习，学习期限2年，周</w:t>
      </w:r>
      <w:r>
        <w:rPr>
          <w:rFonts w:hint="eastAsia" w:asciiTheme="minorEastAsia" w:hAnsiTheme="minorEastAsia" w:cstheme="minorEastAsia"/>
          <w:color w:val="auto"/>
          <w:sz w:val="21"/>
          <w:szCs w:val="21"/>
          <w:lang w:val="en-US" w:eastAsia="zh-CN"/>
        </w:rPr>
        <w:t>日</w:t>
      </w:r>
      <w:r>
        <w:rPr>
          <w:rFonts w:hint="eastAsia" w:asciiTheme="minorEastAsia" w:hAnsiTheme="minorEastAsia" w:eastAsiaTheme="minorEastAsia" w:cstheme="minorEastAsia"/>
          <w:color w:val="auto"/>
          <w:sz w:val="21"/>
          <w:szCs w:val="21"/>
          <w:lang w:val="en-US" w:eastAsia="zh-CN"/>
        </w:rPr>
        <w:t>网络</w:t>
      </w:r>
      <w:r>
        <w:rPr>
          <w:rFonts w:hint="eastAsia" w:asciiTheme="minorEastAsia" w:hAnsiTheme="minorEastAsia" w:eastAsiaTheme="minorEastAsia" w:cstheme="minorEastAsia"/>
          <w:color w:val="auto"/>
          <w:sz w:val="21"/>
          <w:szCs w:val="21"/>
        </w:rPr>
        <w:t>授课</w:t>
      </w:r>
      <w:r>
        <w:rPr>
          <w:rFonts w:hint="eastAsia" w:asciiTheme="minorEastAsia" w:hAnsiTheme="minorEastAsia" w:cstheme="minorEastAsia"/>
          <w:color w:val="auto"/>
          <w:sz w:val="21"/>
          <w:szCs w:val="21"/>
          <w:lang w:eastAsia="zh-CN"/>
        </w:rPr>
        <w:t>；</w:t>
      </w:r>
    </w:p>
    <w:p w14:paraId="3304CB6D">
      <w:pPr>
        <w:keepNext w:val="0"/>
        <w:keepLines w:val="0"/>
        <w:pageBreakBefore w:val="0"/>
        <w:numPr>
          <w:ilvl w:val="0"/>
          <w:numId w:val="0"/>
        </w:numPr>
        <w:kinsoku/>
        <w:wordWrap/>
        <w:overflowPunct/>
        <w:topLinePunct w:val="0"/>
        <w:autoSpaceDE/>
        <w:autoSpaceDN/>
        <w:bidi w:val="0"/>
        <w:adjustRightInd/>
        <w:spacing w:line="360" w:lineRule="auto"/>
        <w:ind w:left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专业课程高级培训班，一年开班两次，分别为春季班3月及秋季班9月。</w:t>
      </w:r>
    </w:p>
    <w:p w14:paraId="799265F3">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70AE7F9E">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八、收费标准</w:t>
      </w:r>
    </w:p>
    <w:p w14:paraId="7DF956BA">
      <w:pPr>
        <w:keepNext w:val="0"/>
        <w:keepLines w:val="0"/>
        <w:pageBreakBefore w:val="0"/>
        <w:widowControl w:val="0"/>
        <w:numPr>
          <w:ilvl w:val="0"/>
          <w:numId w:val="0"/>
        </w:numPr>
        <w:kinsoku/>
        <w:wordWrap/>
        <w:overflowPunct/>
        <w:topLinePunct w:val="0"/>
        <w:autoSpaceDE/>
        <w:autoSpaceDN/>
        <w:bidi w:val="0"/>
        <w:adjustRightInd/>
        <w:spacing w:line="360" w:lineRule="auto"/>
        <w:ind w:firstLine="420" w:firstLineChars="200"/>
        <w:jc w:val="both"/>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cstheme="minorEastAsia"/>
          <w:b w:val="0"/>
          <w:bCs w:val="0"/>
          <w:color w:val="auto"/>
          <w:sz w:val="21"/>
          <w:szCs w:val="21"/>
          <w:lang w:val="en-US" w:eastAsia="zh-CN"/>
        </w:rPr>
        <w:t>1、</w:t>
      </w:r>
      <w:r>
        <w:rPr>
          <w:rFonts w:hint="eastAsia" w:asciiTheme="minorEastAsia" w:hAnsiTheme="minorEastAsia" w:eastAsiaTheme="minorEastAsia" w:cstheme="minorEastAsia"/>
          <w:b w:val="0"/>
          <w:bCs w:val="0"/>
          <w:color w:val="auto"/>
          <w:sz w:val="21"/>
          <w:szCs w:val="21"/>
          <w:lang w:val="en-US" w:eastAsia="zh-CN"/>
        </w:rPr>
        <w:t>学费：35000元</w:t>
      </w:r>
    </w:p>
    <w:p w14:paraId="5637CE1D">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val="0"/>
          <w:bCs w:val="0"/>
          <w:color w:val="auto"/>
          <w:sz w:val="21"/>
          <w:szCs w:val="21"/>
          <w:lang w:val="en-US" w:eastAsia="zh-CN"/>
        </w:rPr>
      </w:pPr>
      <w:r>
        <w:rPr>
          <w:rFonts w:hint="eastAsia" w:asciiTheme="minorEastAsia" w:hAnsiTheme="minorEastAsia" w:eastAsiaTheme="minorEastAsia" w:cstheme="minorEastAsia"/>
          <w:b w:val="0"/>
          <w:bCs w:val="0"/>
          <w:color w:val="auto"/>
          <w:sz w:val="21"/>
          <w:szCs w:val="21"/>
          <w:lang w:val="en-US" w:eastAsia="zh-CN"/>
        </w:rPr>
        <w:t xml:space="preserve">    </w:t>
      </w:r>
      <w:r>
        <w:rPr>
          <w:rFonts w:hint="eastAsia" w:asciiTheme="minorEastAsia" w:hAnsiTheme="minorEastAsia" w:cstheme="minorEastAsia"/>
          <w:b w:val="0"/>
          <w:bCs w:val="0"/>
          <w:color w:val="auto"/>
          <w:sz w:val="21"/>
          <w:szCs w:val="21"/>
          <w:lang w:val="en-US" w:eastAsia="zh-CN"/>
        </w:rPr>
        <w:t>2、论文指导费</w:t>
      </w:r>
      <w:r>
        <w:rPr>
          <w:rFonts w:hint="eastAsia" w:asciiTheme="minorEastAsia" w:hAnsiTheme="minorEastAsia" w:eastAsiaTheme="minorEastAsia" w:cstheme="minorEastAsia"/>
          <w:b w:val="0"/>
          <w:bCs w:val="0"/>
          <w:color w:val="auto"/>
          <w:sz w:val="21"/>
          <w:szCs w:val="21"/>
          <w:lang w:val="en-US" w:eastAsia="zh-CN"/>
        </w:rPr>
        <w:t>：</w:t>
      </w:r>
      <w:r>
        <w:rPr>
          <w:rFonts w:hint="eastAsia" w:asciiTheme="minorEastAsia" w:hAnsiTheme="minorEastAsia" w:cstheme="minorEastAsia"/>
          <w:b w:val="0"/>
          <w:bCs w:val="0"/>
          <w:color w:val="auto"/>
          <w:sz w:val="21"/>
          <w:szCs w:val="21"/>
          <w:lang w:val="en-US" w:eastAsia="zh-CN"/>
        </w:rPr>
        <w:t>7</w:t>
      </w:r>
      <w:r>
        <w:rPr>
          <w:rFonts w:hint="eastAsia" w:asciiTheme="minorEastAsia" w:hAnsiTheme="minorEastAsia" w:eastAsiaTheme="minorEastAsia" w:cstheme="minorEastAsia"/>
          <w:b w:val="0"/>
          <w:bCs w:val="0"/>
          <w:color w:val="auto"/>
          <w:sz w:val="21"/>
          <w:szCs w:val="21"/>
          <w:lang w:val="en-US" w:eastAsia="zh-CN"/>
        </w:rPr>
        <w:t>000元</w:t>
      </w:r>
    </w:p>
    <w:p w14:paraId="53D4B309">
      <w:pPr>
        <w:keepNext w:val="0"/>
        <w:keepLines w:val="0"/>
        <w:pageBreakBefore w:val="0"/>
        <w:widowControl w:val="0"/>
        <w:numPr>
          <w:ilvl w:val="0"/>
          <w:numId w:val="0"/>
        </w:numPr>
        <w:kinsoku/>
        <w:wordWrap/>
        <w:overflowPunct/>
        <w:topLinePunct w:val="0"/>
        <w:autoSpaceDE/>
        <w:autoSpaceDN/>
        <w:bidi w:val="0"/>
        <w:adjustRightInd/>
        <w:spacing w:line="360" w:lineRule="auto"/>
        <w:jc w:val="both"/>
        <w:textAlignment w:val="auto"/>
        <w:rPr>
          <w:rFonts w:hint="eastAsia" w:asciiTheme="minorEastAsia" w:hAnsiTheme="minorEastAsia" w:eastAsiaTheme="minorEastAsia" w:cstheme="minorEastAsia"/>
          <w:b/>
          <w:bCs/>
          <w:color w:val="auto"/>
          <w:sz w:val="21"/>
          <w:szCs w:val="21"/>
          <w:lang w:val="en-US" w:eastAsia="zh-CN"/>
        </w:rPr>
      </w:pPr>
    </w:p>
    <w:p w14:paraId="62283FC7">
      <w:pPr>
        <w:keepNext w:val="0"/>
        <w:keepLines w:val="0"/>
        <w:pageBreakBefore w:val="0"/>
        <w:numPr>
          <w:ilvl w:val="0"/>
          <w:numId w:val="3"/>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r>
        <w:rPr>
          <w:rFonts w:hint="eastAsia" w:asciiTheme="minorEastAsia" w:hAnsiTheme="minorEastAsia" w:eastAsiaTheme="minorEastAsia" w:cstheme="minorEastAsia"/>
          <w:b/>
          <w:bCs/>
          <w:color w:val="auto"/>
          <w:sz w:val="21"/>
          <w:szCs w:val="21"/>
          <w:lang w:val="en-US" w:eastAsia="zh-CN"/>
        </w:rPr>
        <w:t>获取证书</w:t>
      </w:r>
    </w:p>
    <w:p w14:paraId="2FA51D55">
      <w:pPr>
        <w:keepNext w:val="0"/>
        <w:keepLines w:val="0"/>
        <w:pageBreakBefore w:val="0"/>
        <w:numPr>
          <w:ilvl w:val="0"/>
          <w:numId w:val="4"/>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学员按教学计划完成全部课程学习且考试合格者，颁发上海对外经贸大学专业课程高级培训班结业证书</w:t>
      </w:r>
      <w:r>
        <w:rPr>
          <w:rFonts w:hint="eastAsia" w:asciiTheme="minorEastAsia" w:hAnsiTheme="minorEastAsia" w:cstheme="minorEastAsia"/>
          <w:color w:val="auto"/>
          <w:sz w:val="21"/>
          <w:szCs w:val="21"/>
          <w:lang w:eastAsia="zh-CN"/>
        </w:rPr>
        <w:t>；</w:t>
      </w:r>
    </w:p>
    <w:p w14:paraId="07C941FE">
      <w:pPr>
        <w:keepNext w:val="0"/>
        <w:keepLines w:val="0"/>
        <w:pageBreakBefore w:val="0"/>
        <w:numPr>
          <w:ilvl w:val="0"/>
          <w:numId w:val="0"/>
        </w:numPr>
        <w:kinsoku/>
        <w:wordWrap/>
        <w:overflowPunct/>
        <w:topLinePunct w:val="0"/>
        <w:autoSpaceDE/>
        <w:autoSpaceDN/>
        <w:bidi w:val="0"/>
        <w:adjustRightInd/>
        <w:spacing w:line="360" w:lineRule="auto"/>
        <w:ind w:firstLine="420" w:firstLineChars="200"/>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具有学士学位的学员且完成专业课程高级培训班全部课程学习，通过同等学力申硕全国统一考试（考试科目根据专业有所区别）后，可申请进入硕士学位论文撰写阶段。通过硕士论文答辩者，根据《上海对外经贸大学研究生学位管理办法实施细则》授予硕士学位。</w:t>
      </w:r>
    </w:p>
    <w:p w14:paraId="000D1417">
      <w:pPr>
        <w:keepNext w:val="0"/>
        <w:keepLines w:val="0"/>
        <w:pageBreakBefore w:val="0"/>
        <w:numPr>
          <w:ilvl w:val="0"/>
          <w:numId w:val="0"/>
        </w:numPr>
        <w:kinsoku/>
        <w:wordWrap/>
        <w:overflowPunct/>
        <w:topLinePunct w:val="0"/>
        <w:autoSpaceDE/>
        <w:autoSpaceDN/>
        <w:bidi w:val="0"/>
        <w:adjustRightInd/>
        <w:spacing w:line="360" w:lineRule="auto"/>
        <w:textAlignment w:val="auto"/>
        <w:rPr>
          <w:rFonts w:hint="eastAsia" w:asciiTheme="minorEastAsia" w:hAnsiTheme="minorEastAsia" w:eastAsiaTheme="minorEastAsia" w:cstheme="minorEastAsia"/>
          <w:b/>
          <w:bCs/>
          <w:color w:val="auto"/>
          <w:sz w:val="21"/>
          <w:szCs w:val="21"/>
          <w:lang w:val="en-US" w:eastAsia="zh-CN"/>
        </w:rPr>
      </w:pPr>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AD01B">
    <w:pPr>
      <w:pStyle w:val="3"/>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64150"/>
          <wp:effectExtent l="0" t="0" r="2540" b="12700"/>
          <wp:wrapNone/>
          <wp:docPr id="1" name="WordPictureWatermark20675" descr="上海对外经贸大学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PictureWatermark20675" descr="上海对外经贸大学LOGO"/>
                  <pic:cNvPicPr>
                    <a:picLocks noChangeAspect="1"/>
                  </pic:cNvPicPr>
                </pic:nvPicPr>
                <pic:blipFill>
                  <a:blip r:embed="rId1">
                    <a:lum bright="69998" contrast="-70001"/>
                  </a:blip>
                  <a:stretch>
                    <a:fillRect/>
                  </a:stretch>
                </pic:blipFill>
                <pic:spPr>
                  <a:xfrm>
                    <a:off x="0" y="0"/>
                    <a:ext cx="5274310" cy="52641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00C4E0"/>
    <w:multiLevelType w:val="singleLevel"/>
    <w:tmpl w:val="E400C4E0"/>
    <w:lvl w:ilvl="0" w:tentative="0">
      <w:start w:val="1"/>
      <w:numFmt w:val="decimal"/>
      <w:suff w:val="nothing"/>
      <w:lvlText w:val="%1、"/>
      <w:lvlJc w:val="left"/>
    </w:lvl>
  </w:abstractNum>
  <w:abstractNum w:abstractNumId="1">
    <w:nsid w:val="3677D025"/>
    <w:multiLevelType w:val="singleLevel"/>
    <w:tmpl w:val="3677D025"/>
    <w:lvl w:ilvl="0" w:tentative="0">
      <w:start w:val="1"/>
      <w:numFmt w:val="decimal"/>
      <w:suff w:val="nothing"/>
      <w:lvlText w:val="%1、"/>
      <w:lvlJc w:val="left"/>
    </w:lvl>
  </w:abstractNum>
  <w:abstractNum w:abstractNumId="2">
    <w:nsid w:val="49BD8620"/>
    <w:multiLevelType w:val="singleLevel"/>
    <w:tmpl w:val="49BD8620"/>
    <w:lvl w:ilvl="0" w:tentative="0">
      <w:start w:val="9"/>
      <w:numFmt w:val="chineseCounting"/>
      <w:suff w:val="nothing"/>
      <w:lvlText w:val="%1、"/>
      <w:lvlJc w:val="left"/>
      <w:rPr>
        <w:rFonts w:hint="eastAsia"/>
      </w:rPr>
    </w:lvl>
  </w:abstractNum>
  <w:abstractNum w:abstractNumId="3">
    <w:nsid w:val="68E0B413"/>
    <w:multiLevelType w:val="singleLevel"/>
    <w:tmpl w:val="68E0B413"/>
    <w:lvl w:ilvl="0" w:tentative="0">
      <w:start w:val="1"/>
      <w:numFmt w:val="chineseCounting"/>
      <w:suff w:val="nothing"/>
      <w:lvlText w:val="%1、"/>
      <w:lvlJc w:val="left"/>
      <w:rPr>
        <w:rFonts w:hint="eastAsia"/>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5ODQ5N2Q1NmI0ZDAwYTJiMTcyMmU3ZjhhMWE4NmEifQ=="/>
  </w:docVars>
  <w:rsids>
    <w:rsidRoot w:val="0CCD26A1"/>
    <w:rsid w:val="0A505139"/>
    <w:rsid w:val="0CCD26A1"/>
    <w:rsid w:val="12050A15"/>
    <w:rsid w:val="12FC5E1A"/>
    <w:rsid w:val="2AB2613A"/>
    <w:rsid w:val="307224F7"/>
    <w:rsid w:val="315A5E10"/>
    <w:rsid w:val="346534AA"/>
    <w:rsid w:val="396106E4"/>
    <w:rsid w:val="656743AF"/>
    <w:rsid w:val="6C8E4AE2"/>
    <w:rsid w:val="6D9611F6"/>
    <w:rsid w:val="7F675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5">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autoRedefine/>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1546</Words>
  <Characters>1586</Characters>
  <Lines>0</Lines>
  <Paragraphs>0</Paragraphs>
  <TotalTime>2</TotalTime>
  <ScaleCrop>false</ScaleCrop>
  <LinksUpToDate>false</LinksUpToDate>
  <CharactersWithSpaces>1606</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2022-03-04T02:04:00Z</dcterms:created>
  <dc:creator>Administrator</dc:creator>
  <cp:lastModifiedBy>Administrator</cp:lastModifiedBy>
  <dcterms:modified xsi:type="dcterms:W3CDTF">2026-01-15T08:32:42Z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7EE0AE97EA6848A08E2671C6F6465DFD_13</vt:lpwstr>
  </property>
  <property fmtid="{D5CDD505-2E9C-101B-9397-08002B2CF9AE}" pid="4" name="KSOTemplateDocerSaveRecord">
    <vt:lpwstr>eyJoZGlkIjoiMjJkYmYyOGQwNjU2YTFjYjBlYWQzZDdlZjc2Nzk1ZWYifQ==</vt:lpwstr>
  </property>
</Properties>
</file>