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DD31F">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drawing>
          <wp:inline distT="0" distB="0" distL="114300" distR="114300">
            <wp:extent cx="4306570" cy="1043940"/>
            <wp:effectExtent l="0" t="0" r="17780" b="3810"/>
            <wp:docPr id="2"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2"/>
                    <pic:cNvPicPr>
                      <a:picLocks noChangeAspect="1"/>
                    </pic:cNvPicPr>
                  </pic:nvPicPr>
                  <pic:blipFill>
                    <a:blip r:embed="rId5"/>
                    <a:stretch>
                      <a:fillRect/>
                    </a:stretch>
                  </pic:blipFill>
                  <pic:spPr>
                    <a:xfrm>
                      <a:off x="0" y="0"/>
                      <a:ext cx="4306570" cy="1043940"/>
                    </a:xfrm>
                    <a:prstGeom prst="rect">
                      <a:avLst/>
                    </a:prstGeom>
                  </pic:spPr>
                </pic:pic>
              </a:graphicData>
            </a:graphic>
          </wp:inline>
        </w:drawing>
      </w:r>
    </w:p>
    <w:p w14:paraId="2EEB0649">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eastAsia="zh-CN"/>
        </w:rPr>
      </w:pPr>
    </w:p>
    <w:p w14:paraId="790EC67C">
      <w:pPr>
        <w:keepNext w:val="0"/>
        <w:keepLines w:val="0"/>
        <w:pageBreakBefore w:val="0"/>
        <w:kinsoku/>
        <w:wordWrap/>
        <w:overflowPunct/>
        <w:topLinePunct w:val="0"/>
        <w:autoSpaceDE/>
        <w:autoSpaceDN/>
        <w:bidi w:val="0"/>
        <w:adjustRightInd/>
        <w:spacing w:line="360" w:lineRule="auto"/>
        <w:ind w:left="2891" w:hanging="2891" w:hangingChars="9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lang w:val="en-US" w:eastAsia="zh-CN"/>
        </w:rPr>
        <w:t>上海对外经贸大学国际贸易专业</w:t>
      </w:r>
      <w:r>
        <w:rPr>
          <w:rFonts w:hint="eastAsia" w:asciiTheme="minorEastAsia" w:hAnsiTheme="minorEastAsia" w:eastAsiaTheme="minorEastAsia" w:cstheme="minorEastAsia"/>
          <w:b/>
          <w:bCs w:val="0"/>
          <w:color w:val="auto"/>
          <w:sz w:val="32"/>
          <w:szCs w:val="32"/>
        </w:rPr>
        <w:t>课程高级培训班</w:t>
      </w:r>
    </w:p>
    <w:p w14:paraId="14FC7005">
      <w:pPr>
        <w:keepNext w:val="0"/>
        <w:keepLines w:val="0"/>
        <w:pageBreakBefore w:val="0"/>
        <w:kinsoku/>
        <w:wordWrap/>
        <w:overflowPunct/>
        <w:topLinePunct w:val="0"/>
        <w:autoSpaceDE/>
        <w:autoSpaceDN/>
        <w:bidi w:val="0"/>
        <w:adjustRightInd/>
        <w:spacing w:line="360" w:lineRule="auto"/>
        <w:ind w:left="2891" w:hanging="2891" w:hangingChars="9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rPr>
        <w:t>招生简章</w:t>
      </w:r>
    </w:p>
    <w:p w14:paraId="38E4F7D8">
      <w:pPr>
        <w:keepNext w:val="0"/>
        <w:keepLines w:val="0"/>
        <w:pageBreakBefore w:val="0"/>
        <w:kinsoku/>
        <w:wordWrap/>
        <w:overflowPunct/>
        <w:topLinePunct w:val="0"/>
        <w:autoSpaceDE/>
        <w:autoSpaceDN/>
        <w:bidi w:val="0"/>
        <w:adjustRightInd/>
        <w:spacing w:line="360" w:lineRule="auto"/>
        <w:ind w:firstLine="2940" w:firstLineChars="1400"/>
        <w:contextualSpacing/>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 xml:space="preserve">   </w:t>
      </w:r>
    </w:p>
    <w:p w14:paraId="48F1A4D9">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院校简介</w:t>
      </w:r>
    </w:p>
    <w:p w14:paraId="4BDE46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上海对外经贸大学（前身上海对外贸易学院）创建于1960年，是原国家对外贸易部最早设置的两所本科高校之一，被誉为“中国对外经贸人才的摇篮”。1994年，学校划归上海市人民政府管理；2009年，入选世界首批、中国首家WTO讲席院校；2013年，更名为上海对外经贸大学；2019年，获得WTO亚太培训中心资格,成为WTO全球7个培训伙伴中在中国内地设立的唯一区域培训合作伙伴；2021年，经国务院学位委员会批准，成为博士学位授予单位，应用经济学成为一级学科博士学位授权点,跻身上海市重点建设的高水平地方高校行列。</w:t>
      </w:r>
    </w:p>
    <w:p w14:paraId="1EA965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校因贸易强国而生、因对外开放而兴、因全面改革而盛、因新时代开放事业而新，经过60余年的发展，已构建起特色鲜明、优势突出的本硕博一体化人才培养体系，在高层次、应用型、国际化经贸人才培养和国际经贸领域决策咨询研究方面取得丰硕成果，综合办学实力显著提升。</w:t>
      </w:r>
    </w:p>
    <w:p w14:paraId="14EB08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国际贸易学作为一门研究国际间商品与劳务交换过程中的</w:t>
      </w:r>
      <w:r>
        <w:rPr>
          <w:rFonts w:hint="eastAsia" w:asciiTheme="minorEastAsia" w:hAnsiTheme="minorEastAsia" w:eastAsiaTheme="minorEastAsia" w:cstheme="minorEastAsia"/>
          <w:color w:val="auto"/>
          <w:sz w:val="21"/>
          <w:szCs w:val="21"/>
          <w:lang w:val="en-US" w:eastAsia="zh-CN"/>
        </w:rPr>
        <w:fldChar w:fldCharType="begin"/>
      </w:r>
      <w:r>
        <w:rPr>
          <w:rFonts w:hint="eastAsia" w:asciiTheme="minorEastAsia" w:hAnsiTheme="minorEastAsia" w:eastAsiaTheme="minorEastAsia" w:cstheme="minorEastAsia"/>
          <w:color w:val="auto"/>
          <w:sz w:val="21"/>
          <w:szCs w:val="21"/>
          <w:lang w:val="en-US" w:eastAsia="zh-CN"/>
        </w:rPr>
        <w:instrText xml:space="preserve"> HYPERLINK "https://baike.baidu.com/item/%E7%94%9F%E4%BA%A7%E5%85%B3%E7%B3%BB" \t "https://baike.baidu.com/item/%E5%9B%BD%E9%99%85%E8%B4%B8%E6%98%93%E5%AD%A6/_blank" </w:instrText>
      </w:r>
      <w:r>
        <w:rPr>
          <w:rFonts w:hint="eastAsia" w:asciiTheme="minorEastAsia" w:hAnsiTheme="minorEastAsia" w:eastAsiaTheme="minorEastAsia" w:cstheme="minorEastAsia"/>
          <w:color w:val="auto"/>
          <w:sz w:val="21"/>
          <w:szCs w:val="21"/>
          <w:lang w:val="en-US" w:eastAsia="zh-CN"/>
        </w:rPr>
        <w:fldChar w:fldCharType="separate"/>
      </w:r>
      <w:r>
        <w:rPr>
          <w:rFonts w:hint="eastAsia" w:asciiTheme="minorEastAsia" w:hAnsiTheme="minorEastAsia" w:eastAsiaTheme="minorEastAsia" w:cstheme="minorEastAsia"/>
          <w:color w:val="auto"/>
          <w:sz w:val="21"/>
          <w:szCs w:val="21"/>
          <w:lang w:val="en-US" w:eastAsia="zh-CN"/>
        </w:rPr>
        <w:t>生产关系</w:t>
      </w:r>
      <w:r>
        <w:rPr>
          <w:rFonts w:hint="eastAsia" w:asciiTheme="minorEastAsia" w:hAnsiTheme="minorEastAsia" w:eastAsiaTheme="minorEastAsia" w:cstheme="minorEastAsia"/>
          <w:color w:val="auto"/>
          <w:sz w:val="21"/>
          <w:szCs w:val="21"/>
          <w:lang w:val="en-US" w:eastAsia="zh-CN"/>
        </w:rPr>
        <w:fldChar w:fldCharType="end"/>
      </w:r>
      <w:r>
        <w:rPr>
          <w:rFonts w:hint="eastAsia" w:asciiTheme="minorEastAsia" w:hAnsiTheme="minorEastAsia" w:eastAsiaTheme="minorEastAsia" w:cstheme="minorEastAsia"/>
          <w:color w:val="auto"/>
          <w:sz w:val="21"/>
          <w:szCs w:val="21"/>
          <w:lang w:val="en-US" w:eastAsia="zh-CN"/>
        </w:rPr>
        <w:t>及有关上层建筑发展规律的学科，对每个国家的经济都有至关重要的作用。为了向社会培养国际贸易学专业的人士，</w:t>
      </w:r>
      <w:r>
        <w:rPr>
          <w:rFonts w:hint="eastAsia" w:asciiTheme="minorEastAsia" w:hAnsiTheme="minorEastAsia" w:cstheme="minorEastAsia"/>
          <w:color w:val="auto"/>
          <w:sz w:val="21"/>
          <w:szCs w:val="21"/>
          <w:lang w:val="en-US" w:eastAsia="zh-CN"/>
        </w:rPr>
        <w:t>当前，</w:t>
      </w:r>
      <w:r>
        <w:rPr>
          <w:rFonts w:hint="eastAsia" w:asciiTheme="minorEastAsia" w:hAnsiTheme="minorEastAsia" w:eastAsiaTheme="minorEastAsia" w:cstheme="minorEastAsia"/>
          <w:color w:val="auto"/>
          <w:sz w:val="21"/>
          <w:szCs w:val="21"/>
          <w:lang w:val="en-US" w:eastAsia="zh-CN"/>
        </w:rPr>
        <w:t>上海对外经贸大学特开设国际贸易专业（包含国际贸易理论与政策方向、多边贸易体制研究方向、区域经济一体化研究方向、服务贸易研究方向）高级培训班，</w:t>
      </w:r>
      <w:r>
        <w:rPr>
          <w:rFonts w:hint="eastAsia" w:asciiTheme="minorEastAsia" w:hAnsiTheme="minorEastAsia" w:eastAsiaTheme="minorEastAsia" w:cstheme="minorEastAsia"/>
          <w:color w:val="auto"/>
          <w:sz w:val="21"/>
          <w:szCs w:val="21"/>
        </w:rPr>
        <w:t>以满足日益增长的学位提升需求。改善与更新在职人员的知识结构，全方位拓展在</w:t>
      </w:r>
      <w:r>
        <w:rPr>
          <w:rFonts w:hint="eastAsia" w:asciiTheme="minorEastAsia" w:hAnsiTheme="minorEastAsia" w:eastAsiaTheme="minorEastAsia" w:cstheme="minorEastAsia"/>
          <w:color w:val="auto"/>
          <w:sz w:val="21"/>
          <w:szCs w:val="21"/>
          <w:lang w:val="en-US" w:eastAsia="zh-CN"/>
        </w:rPr>
        <w:t>国际贸易</w:t>
      </w:r>
      <w:r>
        <w:rPr>
          <w:rFonts w:hint="eastAsia" w:asciiTheme="minorEastAsia" w:hAnsiTheme="minorEastAsia" w:eastAsiaTheme="minorEastAsia" w:cstheme="minorEastAsia"/>
          <w:color w:val="auto"/>
          <w:sz w:val="21"/>
          <w:szCs w:val="21"/>
        </w:rPr>
        <w:t>新形势下的战略视野和提升职业发展潜力，培养</w:t>
      </w:r>
      <w:r>
        <w:rPr>
          <w:rFonts w:hint="eastAsia" w:asciiTheme="minorEastAsia" w:hAnsiTheme="minorEastAsia" w:eastAsiaTheme="minorEastAsia" w:cstheme="minorEastAsia"/>
          <w:color w:val="auto"/>
          <w:sz w:val="21"/>
          <w:szCs w:val="21"/>
          <w:lang w:val="en-US" w:eastAsia="zh-CN"/>
        </w:rPr>
        <w:t>国际贸易</w:t>
      </w:r>
      <w:r>
        <w:rPr>
          <w:rFonts w:hint="eastAsia" w:asciiTheme="minorEastAsia" w:hAnsiTheme="minorEastAsia" w:eastAsiaTheme="minorEastAsia" w:cstheme="minorEastAsia"/>
          <w:color w:val="auto"/>
          <w:sz w:val="21"/>
          <w:szCs w:val="21"/>
        </w:rPr>
        <w:t>精英人才</w:t>
      </w:r>
      <w:r>
        <w:rPr>
          <w:rFonts w:hint="eastAsia" w:asciiTheme="minorEastAsia" w:hAnsiTheme="minorEastAsia" w:eastAsiaTheme="minorEastAsia" w:cstheme="minorEastAsia"/>
          <w:color w:val="auto"/>
          <w:sz w:val="21"/>
          <w:szCs w:val="21"/>
          <w:lang w:eastAsia="zh-CN"/>
        </w:rPr>
        <w:t>。</w:t>
      </w:r>
    </w:p>
    <w:p w14:paraId="659784B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p>
    <w:p w14:paraId="0A0A7214">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 xml:space="preserve">    </w:t>
      </w:r>
    </w:p>
    <w:p w14:paraId="4C129DF5">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060FC140">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182D900F">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培养目标</w:t>
      </w:r>
    </w:p>
    <w:p w14:paraId="34A3A4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本专业主要是培养的学生应较系统地掌握</w:t>
      </w:r>
      <w:r>
        <w:rPr>
          <w:rFonts w:hint="eastAsia" w:asciiTheme="minorEastAsia" w:hAnsiTheme="minorEastAsia" w:eastAsiaTheme="minorEastAsia" w:cstheme="minorEastAsia"/>
          <w:color w:val="auto"/>
          <w:sz w:val="21"/>
          <w:szCs w:val="21"/>
          <w:lang w:val="en-US" w:eastAsia="zh-CN"/>
        </w:rPr>
        <w:fldChar w:fldCharType="begin"/>
      </w:r>
      <w:r>
        <w:rPr>
          <w:rFonts w:hint="eastAsia" w:asciiTheme="minorEastAsia" w:hAnsiTheme="minorEastAsia" w:eastAsiaTheme="minorEastAsia" w:cstheme="minorEastAsia"/>
          <w:color w:val="auto"/>
          <w:sz w:val="21"/>
          <w:szCs w:val="21"/>
          <w:lang w:val="en-US" w:eastAsia="zh-CN"/>
        </w:rPr>
        <w:instrText xml:space="preserve"> HYPERLINK "https://baike.baidu.com/item/%E5%9B%BD%E9%99%85%E7%BB%8F%E6%B5%8E/9616522" \t "https://baike.baidu.com/item/%E5%9B%BD%E9%99%85%E8%B4%B8%E6%98%93%E5%AD%A6/_blank" </w:instrText>
      </w:r>
      <w:r>
        <w:rPr>
          <w:rFonts w:hint="eastAsia" w:asciiTheme="minorEastAsia" w:hAnsiTheme="minorEastAsia" w:eastAsiaTheme="minorEastAsia" w:cstheme="minorEastAsia"/>
          <w:color w:val="auto"/>
          <w:sz w:val="21"/>
          <w:szCs w:val="21"/>
          <w:lang w:val="en-US" w:eastAsia="zh-CN"/>
        </w:rPr>
        <w:fldChar w:fldCharType="separate"/>
      </w:r>
      <w:r>
        <w:rPr>
          <w:rFonts w:hint="eastAsia" w:asciiTheme="minorEastAsia" w:hAnsiTheme="minorEastAsia" w:eastAsiaTheme="minorEastAsia" w:cstheme="minorEastAsia"/>
          <w:color w:val="auto"/>
          <w:sz w:val="21"/>
          <w:szCs w:val="21"/>
          <w:lang w:val="en-US" w:eastAsia="zh-CN"/>
        </w:rPr>
        <w:t>国际经济</w:t>
      </w:r>
      <w:r>
        <w:rPr>
          <w:rFonts w:hint="eastAsia" w:asciiTheme="minorEastAsia" w:hAnsiTheme="minorEastAsia" w:eastAsiaTheme="minorEastAsia" w:cstheme="minorEastAsia"/>
          <w:color w:val="auto"/>
          <w:sz w:val="21"/>
          <w:szCs w:val="21"/>
          <w:lang w:val="en-US" w:eastAsia="zh-CN"/>
        </w:rPr>
        <w:fldChar w:fldCharType="end"/>
      </w:r>
      <w:r>
        <w:rPr>
          <w:rFonts w:hint="eastAsia" w:asciiTheme="minorEastAsia" w:hAnsiTheme="minorEastAsia" w:eastAsiaTheme="minorEastAsia" w:cstheme="minorEastAsia"/>
          <w:color w:val="auto"/>
          <w:sz w:val="21"/>
          <w:szCs w:val="21"/>
          <w:lang w:val="en-US" w:eastAsia="zh-CN"/>
        </w:rPr>
        <w:t>、国际贸易的基本理论，掌握国际贸易的基本知识与基本技能，了解当代国际经济贸易的发展现状，熟悉通行的国际贸易规则和惯例，以及中国对外贸易的政策法规，了解主要国家与地区的社会经济情况，能在涉外经济贸易部门、外资企业及机构从事实际业务、管理、调研和策划工作的高级专门人才。</w:t>
      </w:r>
    </w:p>
    <w:p w14:paraId="3A64794E">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4F96DA10">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特色优势</w:t>
      </w:r>
    </w:p>
    <w:p w14:paraId="75FBFF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1、【外贸实力雄厚】</w:t>
      </w:r>
      <w:r>
        <w:rPr>
          <w:rFonts w:hint="eastAsia" w:asciiTheme="minorEastAsia" w:hAnsiTheme="minorEastAsia" w:eastAsiaTheme="minorEastAsia" w:cstheme="minorEastAsia"/>
          <w:color w:val="auto"/>
          <w:sz w:val="21"/>
          <w:szCs w:val="21"/>
        </w:rPr>
        <w:t>上海对外经贸大学被誉为“中国对外经贸人才的摇篮”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是</w:t>
      </w:r>
      <w:r>
        <w:rPr>
          <w:rFonts w:hint="eastAsia" w:asciiTheme="minorEastAsia" w:hAnsiTheme="minorEastAsia" w:eastAsiaTheme="minorEastAsia" w:cstheme="minorEastAsia"/>
          <w:color w:val="auto"/>
          <w:sz w:val="21"/>
          <w:szCs w:val="21"/>
        </w:rPr>
        <w:t>WTO全球7个培训伙伴中在中国内地设立的唯一区域培训合作伙伴</w:t>
      </w:r>
      <w:r>
        <w:rPr>
          <w:rFonts w:hint="eastAsia" w:asciiTheme="minorEastAsia" w:hAnsiTheme="minorEastAsia" w:eastAsiaTheme="minorEastAsia" w:cstheme="minorEastAsia"/>
          <w:color w:val="auto"/>
          <w:sz w:val="21"/>
          <w:szCs w:val="21"/>
          <w:lang w:eastAsia="zh-CN"/>
        </w:rPr>
        <w:t>；</w:t>
      </w:r>
    </w:p>
    <w:p w14:paraId="6A73797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2、【正规硕士教育】：科学完整的课程体系，符合条件者可申请硕士学位；</w:t>
      </w:r>
    </w:p>
    <w:p w14:paraId="09E87E3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3、【免试审核入学】：采取资格审核方式入学，免试入学；</w:t>
      </w:r>
    </w:p>
    <w:p w14:paraId="54B5CD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4、【多次申硕机会】：可以多次参加申硕全国统考；</w:t>
      </w:r>
    </w:p>
    <w:p w14:paraId="15EA674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5、【共享学校资源】：可享受与在校生同等的电子数据资源，获得我校校友会会员资格。</w:t>
      </w:r>
    </w:p>
    <w:p w14:paraId="1BAF79BD">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721462A2">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课程设置</w:t>
      </w:r>
    </w:p>
    <w:tbl>
      <w:tblPr>
        <w:tblStyle w:val="5"/>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4"/>
        <w:gridCol w:w="2475"/>
        <w:gridCol w:w="3254"/>
        <w:gridCol w:w="6"/>
      </w:tblGrid>
      <w:tr w14:paraId="76E3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399" w:type="dxa"/>
            <w:gridSpan w:val="4"/>
            <w:noWrap w:val="0"/>
            <w:vAlign w:val="top"/>
          </w:tcPr>
          <w:p w14:paraId="4BFB1983">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国际贸易</w:t>
            </w:r>
            <w:r>
              <w:rPr>
                <w:rFonts w:hint="eastAsia" w:asciiTheme="minorEastAsia" w:hAnsiTheme="minorEastAsia" w:eastAsiaTheme="minorEastAsia" w:cstheme="minorEastAsia"/>
                <w:b/>
                <w:bCs/>
                <w:color w:val="auto"/>
                <w:sz w:val="21"/>
                <w:szCs w:val="21"/>
              </w:rPr>
              <w:t>专业课程设置</w:t>
            </w:r>
          </w:p>
        </w:tc>
      </w:tr>
      <w:tr w14:paraId="0B1C5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0280CB80">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社会主义经济理论</w:t>
            </w:r>
          </w:p>
        </w:tc>
        <w:tc>
          <w:tcPr>
            <w:tcW w:w="2475" w:type="dxa"/>
            <w:noWrap w:val="0"/>
            <w:vAlign w:val="top"/>
          </w:tcPr>
          <w:p w14:paraId="6926A544">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国际经济学</w:t>
            </w:r>
          </w:p>
        </w:tc>
        <w:tc>
          <w:tcPr>
            <w:tcW w:w="3254" w:type="dxa"/>
            <w:noWrap w:val="0"/>
            <w:vAlign w:val="top"/>
          </w:tcPr>
          <w:p w14:paraId="079EC89D">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英语听说</w:t>
            </w:r>
          </w:p>
        </w:tc>
      </w:tr>
      <w:tr w14:paraId="1721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23C29E4E">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WTO概述</w:t>
            </w:r>
          </w:p>
        </w:tc>
        <w:tc>
          <w:tcPr>
            <w:tcW w:w="2475" w:type="dxa"/>
            <w:noWrap w:val="0"/>
            <w:vAlign w:val="top"/>
          </w:tcPr>
          <w:p w14:paraId="34BBC689">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财政学</w:t>
            </w:r>
          </w:p>
        </w:tc>
        <w:tc>
          <w:tcPr>
            <w:tcW w:w="3254" w:type="dxa"/>
            <w:noWrap w:val="0"/>
            <w:vAlign w:val="top"/>
          </w:tcPr>
          <w:p w14:paraId="3920AFE3">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货物买卖合同研究</w:t>
            </w:r>
          </w:p>
        </w:tc>
      </w:tr>
      <w:tr w14:paraId="56899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6C1B69D2">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高级微观经济学</w:t>
            </w:r>
          </w:p>
        </w:tc>
        <w:tc>
          <w:tcPr>
            <w:tcW w:w="2475" w:type="dxa"/>
            <w:noWrap w:val="0"/>
            <w:vAlign w:val="top"/>
          </w:tcPr>
          <w:p w14:paraId="4AE5973D">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货币银行学</w:t>
            </w:r>
          </w:p>
        </w:tc>
        <w:tc>
          <w:tcPr>
            <w:tcW w:w="3254" w:type="dxa"/>
            <w:noWrap w:val="0"/>
            <w:vAlign w:val="top"/>
          </w:tcPr>
          <w:p w14:paraId="524C60D2">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物流与供应链管理</w:t>
            </w:r>
          </w:p>
        </w:tc>
      </w:tr>
      <w:tr w14:paraId="05457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25BBA791">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高级宏观经济学</w:t>
            </w:r>
          </w:p>
        </w:tc>
        <w:tc>
          <w:tcPr>
            <w:tcW w:w="2475" w:type="dxa"/>
            <w:noWrap w:val="0"/>
            <w:vAlign w:val="top"/>
          </w:tcPr>
          <w:p w14:paraId="2213CF21">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综合英语</w:t>
            </w:r>
          </w:p>
        </w:tc>
        <w:tc>
          <w:tcPr>
            <w:tcW w:w="3254" w:type="dxa"/>
            <w:noWrap w:val="0"/>
            <w:vAlign w:val="top"/>
          </w:tcPr>
          <w:p w14:paraId="49CF38D3">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市场营销学</w:t>
            </w:r>
          </w:p>
        </w:tc>
      </w:tr>
    </w:tbl>
    <w:p w14:paraId="52888C83">
      <w:pPr>
        <w:pStyle w:val="4"/>
        <w:keepNext w:val="0"/>
        <w:keepLines w:val="0"/>
        <w:pageBreakBefore w:val="0"/>
        <w:kinsoku/>
        <w:wordWrap/>
        <w:overflowPunct/>
        <w:topLinePunct w:val="0"/>
        <w:autoSpaceDE/>
        <w:autoSpaceDN/>
        <w:bidi w:val="0"/>
        <w:adjustRightInd/>
        <w:snapToGrid w:val="0"/>
        <w:spacing w:line="360" w:lineRule="auto"/>
        <w:ind w:firstLine="2520" w:firstLineChars="1200"/>
        <w:contextualSpacing/>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注：部分</w:t>
      </w:r>
      <w:r>
        <w:rPr>
          <w:rFonts w:hint="eastAsia" w:asciiTheme="minorEastAsia" w:hAnsiTheme="minorEastAsia" w:eastAsiaTheme="minorEastAsia" w:cstheme="minorEastAsia"/>
          <w:color w:val="auto"/>
          <w:sz w:val="21"/>
          <w:szCs w:val="21"/>
          <w:lang w:val="en-US" w:eastAsia="zh-CN"/>
        </w:rPr>
        <w:t>方向</w:t>
      </w:r>
      <w:r>
        <w:rPr>
          <w:rFonts w:hint="eastAsia" w:asciiTheme="minorEastAsia" w:hAnsiTheme="minorEastAsia" w:eastAsiaTheme="minorEastAsia" w:cstheme="minorEastAsia"/>
          <w:color w:val="auto"/>
          <w:sz w:val="21"/>
          <w:szCs w:val="21"/>
        </w:rPr>
        <w:t>课程教学参照实际</w:t>
      </w:r>
    </w:p>
    <w:p w14:paraId="26F517FB">
      <w:pPr>
        <w:pStyle w:val="4"/>
        <w:keepNext w:val="0"/>
        <w:keepLines w:val="0"/>
        <w:pageBreakBefore w:val="0"/>
        <w:kinsoku/>
        <w:wordWrap/>
        <w:overflowPunct/>
        <w:topLinePunct w:val="0"/>
        <w:autoSpaceDE/>
        <w:autoSpaceDN/>
        <w:bidi w:val="0"/>
        <w:adjustRightInd/>
        <w:snapToGrid w:val="0"/>
        <w:spacing w:line="360" w:lineRule="auto"/>
        <w:contextualSpacing/>
        <w:textAlignment w:val="auto"/>
        <w:rPr>
          <w:rFonts w:hint="eastAsia" w:asciiTheme="minorEastAsia" w:hAnsiTheme="minorEastAsia" w:eastAsiaTheme="minorEastAsia" w:cstheme="minorEastAsia"/>
          <w:color w:val="auto"/>
          <w:sz w:val="21"/>
          <w:szCs w:val="21"/>
          <w:lang w:val="en-US" w:eastAsia="zh-CN"/>
        </w:rPr>
      </w:pPr>
    </w:p>
    <w:p w14:paraId="5AC5D050">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报考条件</w:t>
      </w:r>
    </w:p>
    <w:p w14:paraId="528FF287">
      <w:pPr>
        <w:keepNext w:val="0"/>
        <w:keepLines w:val="0"/>
        <w:pageBreakBefore w:val="0"/>
        <w:numPr>
          <w:ilvl w:val="0"/>
          <w:numId w:val="2"/>
        </w:numPr>
        <w:kinsoku/>
        <w:wordWrap/>
        <w:overflowPunct/>
        <w:topLinePunct w:val="0"/>
        <w:autoSpaceDE/>
        <w:autoSpaceDN/>
        <w:bidi w:val="0"/>
        <w:adjustRightInd/>
        <w:spacing w:line="360" w:lineRule="auto"/>
        <w:ind w:left="420" w:leftChars="20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遵纪守法，品行端正，在教学、科研、专门技术、管理等方面做出成绩的在职人</w:t>
      </w:r>
    </w:p>
    <w:p w14:paraId="6952B53B">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已获得</w:t>
      </w:r>
      <w:r>
        <w:rPr>
          <w:rFonts w:hint="eastAsia" w:asciiTheme="minorEastAsia" w:hAnsiTheme="minorEastAsia" w:eastAsiaTheme="minorEastAsia" w:cstheme="minorEastAsia"/>
          <w:color w:val="auto"/>
          <w:sz w:val="21"/>
          <w:szCs w:val="21"/>
          <w:lang w:val="en-US" w:eastAsia="zh-CN"/>
        </w:rPr>
        <w:t>本科</w:t>
      </w:r>
      <w:r>
        <w:rPr>
          <w:rFonts w:hint="eastAsia" w:asciiTheme="minorEastAsia" w:hAnsiTheme="minorEastAsia" w:eastAsiaTheme="minorEastAsia" w:cstheme="minorEastAsia"/>
          <w:color w:val="auto"/>
          <w:sz w:val="21"/>
          <w:szCs w:val="21"/>
        </w:rPr>
        <w:t>学士学位，并在获得学士学位后工作三年以上，或虽无学士学位但已获得硕士或博士学位。对已获得学士、硕士或博士学位为国(境)外学位的，其所获的国(境)外学位需经教育部留学服务中心认证；</w:t>
      </w:r>
    </w:p>
    <w:p w14:paraId="185CB913">
      <w:pPr>
        <w:pStyle w:val="4"/>
        <w:keepNext w:val="0"/>
        <w:keepLines w:val="0"/>
        <w:pageBreakBefore w:val="0"/>
        <w:kinsoku/>
        <w:wordWrap/>
        <w:overflowPunct/>
        <w:topLinePunct w:val="0"/>
        <w:autoSpaceDE/>
        <w:autoSpaceDN/>
        <w:bidi w:val="0"/>
        <w:adjustRightInd/>
        <w:snapToGrid w:val="0"/>
        <w:spacing w:line="360" w:lineRule="auto"/>
        <w:contextualSpacing/>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大专学历和本科学历无学士学位者，可参加高级培训班。</w:t>
      </w:r>
    </w:p>
    <w:p w14:paraId="6D617BE0">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六、报名材料</w:t>
      </w:r>
    </w:p>
    <w:p w14:paraId="7FB9C9E9">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1、身份证原件及复印件1份；</w:t>
      </w:r>
    </w:p>
    <w:p w14:paraId="2B54D2EC">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2、本科毕业证原件及复印件1份；</w:t>
      </w:r>
    </w:p>
    <w:p w14:paraId="4748F43F">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3、学士学位证书原件及复印件1份； </w:t>
      </w:r>
    </w:p>
    <w:p w14:paraId="53E175F0">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4、两寸证件照片3张。</w:t>
      </w:r>
    </w:p>
    <w:p w14:paraId="3B21583F">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76B40FC7">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color w:val="auto"/>
          <w:sz w:val="21"/>
          <w:szCs w:val="21"/>
          <w:lang w:val="en-US" w:eastAsia="zh-CN"/>
        </w:rPr>
        <w:t>七、</w:t>
      </w:r>
      <w:r>
        <w:rPr>
          <w:rFonts w:hint="eastAsia" w:asciiTheme="minorEastAsia" w:hAnsiTheme="minorEastAsia" w:eastAsiaTheme="minorEastAsia" w:cstheme="minorEastAsia"/>
          <w:b/>
          <w:bCs/>
          <w:color w:val="auto"/>
          <w:sz w:val="21"/>
          <w:szCs w:val="21"/>
          <w:lang w:val="en-US" w:eastAsia="zh-CN"/>
        </w:rPr>
        <w:t>培养方式</w:t>
      </w:r>
    </w:p>
    <w:p w14:paraId="74CCDB72">
      <w:pPr>
        <w:keepNext w:val="0"/>
        <w:keepLines w:val="0"/>
        <w:pageBreakBefore w:val="0"/>
        <w:numPr>
          <w:ilvl w:val="0"/>
          <w:numId w:val="0"/>
        </w:numPr>
        <w:kinsoku/>
        <w:wordWrap/>
        <w:overflowPunct/>
        <w:topLinePunct w:val="0"/>
        <w:autoSpaceDE/>
        <w:autoSpaceDN/>
        <w:bidi w:val="0"/>
        <w:adjustRightInd/>
        <w:spacing w:line="360" w:lineRule="auto"/>
        <w:ind w:left="210" w:leftChars="0" w:firstLine="210" w:firstLineChars="1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在职不脱产学习，学习期限2年，周</w:t>
      </w:r>
      <w:r>
        <w:rPr>
          <w:rFonts w:hint="eastAsia" w:asciiTheme="minorEastAsia" w:hAnsiTheme="minorEastAsia" w:cstheme="minorEastAsia"/>
          <w:color w:val="auto"/>
          <w:sz w:val="21"/>
          <w:szCs w:val="21"/>
          <w:lang w:eastAsia="zh-CN"/>
        </w:rPr>
        <w:t>日</w:t>
      </w:r>
      <w:r>
        <w:rPr>
          <w:rFonts w:hint="eastAsia" w:asciiTheme="minorEastAsia" w:hAnsiTheme="minorEastAsia" w:eastAsiaTheme="minorEastAsia" w:cstheme="minorEastAsia"/>
          <w:color w:val="auto"/>
          <w:sz w:val="21"/>
          <w:szCs w:val="21"/>
          <w:lang w:val="en-US" w:eastAsia="zh-CN"/>
        </w:rPr>
        <w:t>网络</w:t>
      </w:r>
      <w:r>
        <w:rPr>
          <w:rFonts w:hint="eastAsia" w:asciiTheme="minorEastAsia" w:hAnsiTheme="minorEastAsia" w:eastAsiaTheme="minorEastAsia" w:cstheme="minorEastAsia"/>
          <w:color w:val="auto"/>
          <w:sz w:val="21"/>
          <w:szCs w:val="21"/>
        </w:rPr>
        <w:t>授课</w:t>
      </w:r>
      <w:r>
        <w:rPr>
          <w:rFonts w:hint="eastAsia" w:asciiTheme="minorEastAsia" w:hAnsiTheme="minorEastAsia" w:cstheme="minorEastAsia"/>
          <w:color w:val="auto"/>
          <w:sz w:val="21"/>
          <w:szCs w:val="21"/>
          <w:lang w:eastAsia="zh-CN"/>
        </w:rPr>
        <w:t>；</w:t>
      </w:r>
    </w:p>
    <w:p w14:paraId="1A6D42B2">
      <w:pPr>
        <w:keepNext w:val="0"/>
        <w:keepLines w:val="0"/>
        <w:pageBreakBefore w:val="0"/>
        <w:numPr>
          <w:ilvl w:val="0"/>
          <w:numId w:val="0"/>
        </w:numPr>
        <w:kinsoku/>
        <w:wordWrap/>
        <w:overflowPunct/>
        <w:topLinePunct w:val="0"/>
        <w:autoSpaceDE/>
        <w:autoSpaceDN/>
        <w:bidi w:val="0"/>
        <w:adjustRightInd/>
        <w:spacing w:line="360" w:lineRule="auto"/>
        <w:ind w:left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专业课程高级培训班，一年开班两次，分别为春季班3月及秋季班9月。</w:t>
      </w:r>
    </w:p>
    <w:p w14:paraId="4246B289">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34E37C68">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八、收费标准</w:t>
      </w:r>
    </w:p>
    <w:p w14:paraId="33FD23DB">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lang w:val="en-US" w:eastAsia="zh-CN"/>
        </w:rPr>
        <w:t>学费：35000元</w:t>
      </w:r>
    </w:p>
    <w:p w14:paraId="6E5E98AC">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cstheme="minorEastAsia"/>
          <w:b w:val="0"/>
          <w:bCs w:val="0"/>
          <w:color w:val="auto"/>
          <w:sz w:val="21"/>
          <w:szCs w:val="21"/>
          <w:lang w:val="en-US" w:eastAsia="zh-CN"/>
        </w:rPr>
        <w:t>2、论文指导费</w:t>
      </w:r>
      <w:r>
        <w:rPr>
          <w:rFonts w:hint="eastAsia" w:asciiTheme="minorEastAsia" w:hAnsiTheme="minorEastAsia" w:eastAsiaTheme="minorEastAsia" w:cstheme="minorEastAsia"/>
          <w:b w:val="0"/>
          <w:bCs w:val="0"/>
          <w:color w:val="auto"/>
          <w:sz w:val="21"/>
          <w:szCs w:val="21"/>
          <w:lang w:val="en-US" w:eastAsia="zh-CN"/>
        </w:rPr>
        <w:t>：</w:t>
      </w:r>
      <w:r>
        <w:rPr>
          <w:rFonts w:hint="eastAsia" w:asciiTheme="minorEastAsia" w:hAnsi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lang w:val="en-US" w:eastAsia="zh-CN"/>
        </w:rPr>
        <w:t>000元</w:t>
      </w:r>
    </w:p>
    <w:p w14:paraId="77F45862">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51B5F8D6">
      <w:pPr>
        <w:keepNext w:val="0"/>
        <w:keepLines w:val="0"/>
        <w:pageBreakBefore w:val="0"/>
        <w:numPr>
          <w:ilvl w:val="0"/>
          <w:numId w:val="3"/>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获取证书</w:t>
      </w:r>
    </w:p>
    <w:p w14:paraId="1AE8A671">
      <w:pPr>
        <w:keepNext w:val="0"/>
        <w:keepLines w:val="0"/>
        <w:pageBreakBefore w:val="0"/>
        <w:numPr>
          <w:ilvl w:val="0"/>
          <w:numId w:val="4"/>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学员按教学计划完成全部课程学习且考试合格者，颁发上海对外经贸大学专业课程高级培训班结业证书</w:t>
      </w:r>
      <w:r>
        <w:rPr>
          <w:rFonts w:hint="eastAsia" w:asciiTheme="minorEastAsia" w:hAnsiTheme="minorEastAsia" w:cstheme="minorEastAsia"/>
          <w:color w:val="auto"/>
          <w:sz w:val="21"/>
          <w:szCs w:val="21"/>
          <w:lang w:eastAsia="zh-CN"/>
        </w:rPr>
        <w:t>；</w:t>
      </w:r>
    </w:p>
    <w:p w14:paraId="027D17F0">
      <w:pPr>
        <w:keepNext w:val="0"/>
        <w:keepLines w:val="0"/>
        <w:pageBreakBefore w:val="0"/>
        <w:numPr>
          <w:ilvl w:val="0"/>
          <w:numId w:val="4"/>
        </w:numPr>
        <w:kinsoku/>
        <w:wordWrap/>
        <w:overflowPunct/>
        <w:topLinePunct w:val="0"/>
        <w:autoSpaceDE/>
        <w:autoSpaceDN/>
        <w:bidi w:val="0"/>
        <w:adjustRightInd/>
        <w:spacing w:line="360" w:lineRule="auto"/>
        <w:ind w:left="0" w:leftChars="0"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具有学士学位的学员且完成专业课程高级培训班全部课程学习，通过同等学力申硕全国统一考试（考试科目根据专业有所区别）后，可申请进入硕士学位论文撰写阶段。通过硕士论文答辩者，根据《上海对外经贸大学研究生学位管理办法实施细则》授予硕士学位。</w:t>
      </w:r>
    </w:p>
    <w:p w14:paraId="31E74E4F">
      <w:pPr>
        <w:keepNext w:val="0"/>
        <w:keepLines w:val="0"/>
        <w:pageBreakBefore w:val="0"/>
        <w:numPr>
          <w:ilvl w:val="0"/>
          <w:numId w:val="0"/>
        </w:numPr>
        <w:kinsoku/>
        <w:wordWrap/>
        <w:overflowPunct/>
        <w:topLinePunct w:val="0"/>
        <w:autoSpaceDE/>
        <w:autoSpaceDN/>
        <w:bidi w:val="0"/>
        <w:adjustRightInd/>
        <w:spacing w:line="360" w:lineRule="auto"/>
        <w:ind w:leftChars="200"/>
        <w:textAlignment w:val="auto"/>
        <w:rPr>
          <w:rFonts w:hint="eastAsia" w:asciiTheme="minorEastAsia" w:hAnsiTheme="minorEastAsia" w:eastAsiaTheme="minorEastAsia" w:cstheme="minorEastAsia"/>
          <w:color w:val="auto"/>
          <w:sz w:val="21"/>
          <w:szCs w:val="21"/>
          <w:lang w:val="en-US" w:eastAsia="zh-CN"/>
        </w:rPr>
      </w:pPr>
    </w:p>
    <w:p w14:paraId="73E7AA53">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EA646">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64150"/>
          <wp:effectExtent l="0" t="0" r="2540" b="12700"/>
          <wp:wrapNone/>
          <wp:docPr id="1" name="WordPictureWatermark20675" descr="上海对外经贸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675" descr="上海对外经贸大学LOGO"/>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0C4E0"/>
    <w:multiLevelType w:val="singleLevel"/>
    <w:tmpl w:val="E400C4E0"/>
    <w:lvl w:ilvl="0" w:tentative="0">
      <w:start w:val="1"/>
      <w:numFmt w:val="decimal"/>
      <w:suff w:val="nothing"/>
      <w:lvlText w:val="%1、"/>
      <w:lvlJc w:val="left"/>
    </w:lvl>
  </w:abstractNum>
  <w:abstractNum w:abstractNumId="1">
    <w:nsid w:val="3677D025"/>
    <w:multiLevelType w:val="singleLevel"/>
    <w:tmpl w:val="3677D025"/>
    <w:lvl w:ilvl="0" w:tentative="0">
      <w:start w:val="1"/>
      <w:numFmt w:val="decimal"/>
      <w:suff w:val="nothing"/>
      <w:lvlText w:val="%1、"/>
      <w:lvlJc w:val="left"/>
    </w:lvl>
  </w:abstractNum>
  <w:abstractNum w:abstractNumId="2">
    <w:nsid w:val="49BD8620"/>
    <w:multiLevelType w:val="singleLevel"/>
    <w:tmpl w:val="49BD8620"/>
    <w:lvl w:ilvl="0" w:tentative="0">
      <w:start w:val="9"/>
      <w:numFmt w:val="chineseCounting"/>
      <w:suff w:val="nothing"/>
      <w:lvlText w:val="%1、"/>
      <w:lvlJc w:val="left"/>
      <w:rPr>
        <w:rFonts w:hint="eastAsia"/>
      </w:rPr>
    </w:lvl>
  </w:abstractNum>
  <w:abstractNum w:abstractNumId="3">
    <w:nsid w:val="68E0B413"/>
    <w:multiLevelType w:val="singleLevel"/>
    <w:tmpl w:val="68E0B413"/>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CCD26A1"/>
    <w:rsid w:val="030304BE"/>
    <w:rsid w:val="0A505139"/>
    <w:rsid w:val="0CCD26A1"/>
    <w:rsid w:val="12FC5E1A"/>
    <w:rsid w:val="2A573CED"/>
    <w:rsid w:val="315310D5"/>
    <w:rsid w:val="385A4D74"/>
    <w:rsid w:val="396106E4"/>
    <w:rsid w:val="42201D8F"/>
    <w:rsid w:val="47AA4D17"/>
    <w:rsid w:val="70E44948"/>
    <w:rsid w:val="721165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0"/>
    <w:rPr>
      <w:b/>
    </w:rPr>
  </w:style>
  <w:style w:type="character" w:styleId="8">
    <w:name w:val="Hyperlink"/>
    <w:basedOn w:val="6"/>
    <w:autoRedefine/>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1546</Words>
  <Characters>1588</Characters>
  <Lines>0</Lines>
  <Paragraphs>0</Paragraphs>
  <TotalTime>8</TotalTime>
  <ScaleCrop>false</ScaleCrop>
  <LinksUpToDate>false</LinksUpToDate>
  <CharactersWithSpaces>1611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2022-03-04T02:04:00Z</dcterms:created>
  <dc:creator>Administrator</dc:creator>
  <cp:lastModifiedBy>Administrator</cp:lastModifiedBy>
  <dcterms:modified xsi:type="dcterms:W3CDTF">2026-01-15T08:28:48Z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DCB1251BF9384F6FB623363FC5442820_13</vt:lpwstr>
  </property>
  <property fmtid="{D5CDD505-2E9C-101B-9397-08002B2CF9AE}" pid="4" name="KSOTemplateDocerSaveRecord">
    <vt:lpwstr>eyJoZGlkIjoiMjJkYmYyOGQwNjU2YTFjYjBlYWQzZDdlZjc2Nzk1ZWYifQ==</vt:lpwstr>
  </property>
</Properties>
</file>