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25CC2">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drawing>
          <wp:inline distT="0" distB="0" distL="114300" distR="114300">
            <wp:extent cx="4306570" cy="1043940"/>
            <wp:effectExtent l="0" t="0" r="17780" b="3810"/>
            <wp:docPr id="2"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2"/>
                    <pic:cNvPicPr>
                      <a:picLocks noChangeAspect="1"/>
                    </pic:cNvPicPr>
                  </pic:nvPicPr>
                  <pic:blipFill>
                    <a:blip r:embed="rId5"/>
                    <a:stretch>
                      <a:fillRect/>
                    </a:stretch>
                  </pic:blipFill>
                  <pic:spPr>
                    <a:xfrm>
                      <a:off x="0" y="0"/>
                      <a:ext cx="4306570" cy="1043940"/>
                    </a:xfrm>
                    <a:prstGeom prst="rect">
                      <a:avLst/>
                    </a:prstGeom>
                  </pic:spPr>
                </pic:pic>
              </a:graphicData>
            </a:graphic>
          </wp:inline>
        </w:drawing>
      </w:r>
    </w:p>
    <w:p w14:paraId="24FFE9D6">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eastAsia="zh-CN"/>
        </w:rPr>
      </w:pPr>
    </w:p>
    <w:p w14:paraId="1E3C1978">
      <w:pPr>
        <w:keepNext w:val="0"/>
        <w:keepLines w:val="0"/>
        <w:pageBreakBefore w:val="0"/>
        <w:kinsoku/>
        <w:wordWrap/>
        <w:overflowPunct/>
        <w:topLinePunct w:val="0"/>
        <w:autoSpaceDE/>
        <w:autoSpaceDN/>
        <w:bidi w:val="0"/>
        <w:adjustRightInd/>
        <w:spacing w:line="360" w:lineRule="auto"/>
        <w:ind w:firstLine="643" w:firstLineChars="2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lang w:val="en-US" w:eastAsia="zh-CN"/>
        </w:rPr>
        <w:t>上海对外经贸大学</w:t>
      </w:r>
      <w:r>
        <w:rPr>
          <w:rFonts w:hint="eastAsia" w:asciiTheme="minorEastAsia" w:hAnsiTheme="minorEastAsia" w:cstheme="minorEastAsia"/>
          <w:b/>
          <w:bCs w:val="0"/>
          <w:color w:val="auto"/>
          <w:sz w:val="32"/>
          <w:szCs w:val="32"/>
          <w:lang w:val="en-US" w:eastAsia="zh-CN"/>
        </w:rPr>
        <w:t>会计学</w:t>
      </w:r>
      <w:r>
        <w:rPr>
          <w:rFonts w:hint="eastAsia" w:asciiTheme="minorEastAsia" w:hAnsiTheme="minorEastAsia" w:eastAsiaTheme="minorEastAsia" w:cstheme="minorEastAsia"/>
          <w:b/>
          <w:bCs w:val="0"/>
          <w:color w:val="auto"/>
          <w:sz w:val="32"/>
          <w:szCs w:val="32"/>
          <w:lang w:val="en-US" w:eastAsia="zh-CN"/>
        </w:rPr>
        <w:t>专业</w:t>
      </w:r>
      <w:r>
        <w:rPr>
          <w:rFonts w:hint="eastAsia" w:asciiTheme="minorEastAsia" w:hAnsiTheme="minorEastAsia" w:eastAsiaTheme="minorEastAsia" w:cstheme="minorEastAsia"/>
          <w:b/>
          <w:bCs w:val="0"/>
          <w:color w:val="auto"/>
          <w:sz w:val="32"/>
          <w:szCs w:val="32"/>
        </w:rPr>
        <w:t>课程高级培训班</w:t>
      </w:r>
    </w:p>
    <w:p w14:paraId="3CDC4CC4">
      <w:pPr>
        <w:keepNext w:val="0"/>
        <w:keepLines w:val="0"/>
        <w:pageBreakBefore w:val="0"/>
        <w:kinsoku/>
        <w:wordWrap/>
        <w:overflowPunct/>
        <w:topLinePunct w:val="0"/>
        <w:autoSpaceDE/>
        <w:autoSpaceDN/>
        <w:bidi w:val="0"/>
        <w:adjustRightInd/>
        <w:spacing w:line="360" w:lineRule="auto"/>
        <w:ind w:firstLine="643" w:firstLineChars="2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rPr>
        <w:t>招生简章</w:t>
      </w:r>
    </w:p>
    <w:p w14:paraId="5C784177">
      <w:pPr>
        <w:keepNext w:val="0"/>
        <w:keepLines w:val="0"/>
        <w:pageBreakBefore w:val="0"/>
        <w:kinsoku/>
        <w:wordWrap/>
        <w:overflowPunct/>
        <w:topLinePunct w:val="0"/>
        <w:autoSpaceDE/>
        <w:autoSpaceDN/>
        <w:bidi w:val="0"/>
        <w:adjustRightInd/>
        <w:spacing w:line="360" w:lineRule="auto"/>
        <w:contextualSpacing/>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color w:val="auto"/>
          <w:sz w:val="32"/>
          <w:szCs w:val="32"/>
        </w:rPr>
        <w:t xml:space="preserve"> </w:t>
      </w:r>
    </w:p>
    <w:p w14:paraId="3C21B8DC">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院校简介</w:t>
      </w:r>
    </w:p>
    <w:p w14:paraId="27AE4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上海对外经贸大学（前身上海对外贸易学院）创建于1960年，是原国家对外贸易部最早设置的两所本科高校之一，被誉为“中国对外经贸人才的摇篮”。1994年，学校划归上海市人民政府管理；2009年，入选世界首批、中国首家WTO讲席院校；2013年，更名为上海对外经贸大学；2019年，获得WTO亚太培训中心资格,成为WTO全球7个培训伙伴中在中国内地设立的唯一区域培训合作伙伴；2021年，经国务院学位委员会批准，成为博士学位授予单位，应用经济学成为一级学科博士学位授权点,跻身上海市重点建设的高水平地方高校行列。</w:t>
      </w:r>
    </w:p>
    <w:p w14:paraId="3EF034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校因贸易强国而生、因对外开放而兴、因全面改革而盛、因新时代开放事业而新，经过60余年的发展，已构建起特色鲜明、优势突出的本硕博一体化人才培养体系，在高层次、应用型、国际化经贸人才培养和国际经贸领域决策咨询研究方面取得丰硕成果，综合办学实力显著提升。</w:t>
      </w:r>
    </w:p>
    <w:p w14:paraId="59122D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为了适应社会主义市场经济发展和经济全球化的需要</w:t>
      </w:r>
      <w:r>
        <w:rPr>
          <w:rFonts w:hint="eastAsia" w:asciiTheme="minorEastAsia" w:hAnsiTheme="minorEastAsia" w:cstheme="minorEastAsia"/>
          <w:color w:val="auto"/>
          <w:sz w:val="21"/>
          <w:szCs w:val="21"/>
          <w:lang w:val="en-US" w:eastAsia="zh-CN"/>
        </w:rPr>
        <w:t>，健全和完善国家高层次会计人才培养体系，目前，</w:t>
      </w:r>
      <w:r>
        <w:rPr>
          <w:rFonts w:hint="eastAsia" w:asciiTheme="minorEastAsia" w:hAnsiTheme="minorEastAsia" w:eastAsiaTheme="minorEastAsia" w:cstheme="minorEastAsia"/>
          <w:color w:val="auto"/>
          <w:sz w:val="21"/>
          <w:szCs w:val="21"/>
          <w:lang w:val="en-US" w:eastAsia="zh-CN"/>
        </w:rPr>
        <w:t>上海对外经贸大学特开设</w:t>
      </w:r>
      <w:r>
        <w:rPr>
          <w:rFonts w:hint="eastAsia" w:asciiTheme="minorEastAsia" w:hAnsiTheme="minorEastAsia" w:cstheme="minorEastAsia"/>
          <w:color w:val="auto"/>
          <w:sz w:val="21"/>
          <w:szCs w:val="21"/>
          <w:lang w:val="en-US" w:eastAsia="zh-CN"/>
        </w:rPr>
        <w:t>会计</w:t>
      </w:r>
      <w:r>
        <w:rPr>
          <w:rFonts w:hint="eastAsia" w:asciiTheme="minorEastAsia" w:hAnsiTheme="minorEastAsia" w:eastAsiaTheme="minorEastAsia" w:cstheme="minorEastAsia"/>
          <w:color w:val="auto"/>
          <w:sz w:val="21"/>
          <w:szCs w:val="21"/>
          <w:lang w:val="en-US" w:eastAsia="zh-CN"/>
        </w:rPr>
        <w:t>学专业（基本市场与会计监督</w:t>
      </w:r>
      <w:r>
        <w:rPr>
          <w:rFonts w:hint="eastAsia" w:asciiTheme="minorEastAsia" w:hAnsiTheme="minorEastAsia" w:cstheme="minorEastAsia"/>
          <w:color w:val="auto"/>
          <w:sz w:val="21"/>
          <w:szCs w:val="21"/>
          <w:lang w:val="en-US" w:eastAsia="zh-CN"/>
        </w:rPr>
        <w:t>方向、</w:t>
      </w:r>
      <w:r>
        <w:rPr>
          <w:rFonts w:hint="eastAsia" w:asciiTheme="minorEastAsia" w:hAnsiTheme="minorEastAsia" w:eastAsiaTheme="minorEastAsia" w:cstheme="minorEastAsia"/>
          <w:color w:val="auto"/>
          <w:sz w:val="21"/>
          <w:szCs w:val="21"/>
          <w:lang w:val="en-US" w:eastAsia="zh-CN"/>
        </w:rPr>
        <w:t>管理会计与绩效评价</w:t>
      </w:r>
      <w:r>
        <w:rPr>
          <w:rFonts w:hint="eastAsia" w:asciiTheme="minorEastAsia" w:hAnsiTheme="minorEastAsia" w:cstheme="minorEastAsia"/>
          <w:color w:val="auto"/>
          <w:sz w:val="21"/>
          <w:szCs w:val="21"/>
          <w:lang w:val="en-US" w:eastAsia="zh-CN"/>
        </w:rPr>
        <w:t>方向、</w:t>
      </w:r>
      <w:r>
        <w:rPr>
          <w:rFonts w:hint="eastAsia" w:asciiTheme="minorEastAsia" w:hAnsiTheme="minorEastAsia" w:eastAsiaTheme="minorEastAsia" w:cstheme="minorEastAsia"/>
          <w:color w:val="auto"/>
          <w:sz w:val="21"/>
          <w:szCs w:val="21"/>
          <w:lang w:val="en-US" w:eastAsia="zh-CN"/>
        </w:rPr>
        <w:t>财务共享与会计大数据</w:t>
      </w:r>
      <w:r>
        <w:rPr>
          <w:rFonts w:hint="eastAsia" w:asciiTheme="minorEastAsia" w:hAnsiTheme="minorEastAsia" w:cstheme="minorEastAsia"/>
          <w:color w:val="auto"/>
          <w:sz w:val="21"/>
          <w:szCs w:val="21"/>
          <w:lang w:val="en-US" w:eastAsia="zh-CN"/>
        </w:rPr>
        <w:t>方向</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cstheme="minorEastAsia"/>
          <w:color w:val="auto"/>
          <w:sz w:val="21"/>
          <w:szCs w:val="21"/>
          <w:lang w:val="en-US" w:eastAsia="zh-CN"/>
        </w:rPr>
        <w:t>三个方向的</w:t>
      </w:r>
      <w:r>
        <w:rPr>
          <w:rFonts w:hint="eastAsia" w:asciiTheme="minorEastAsia" w:hAnsiTheme="minorEastAsia" w:eastAsiaTheme="minorEastAsia" w:cstheme="minorEastAsia"/>
          <w:color w:val="auto"/>
          <w:sz w:val="21"/>
          <w:szCs w:val="21"/>
          <w:lang w:val="en-US" w:eastAsia="zh-CN"/>
        </w:rPr>
        <w:t>高级</w:t>
      </w:r>
      <w:r>
        <w:rPr>
          <w:rFonts w:hint="eastAsia" w:asciiTheme="minorEastAsia" w:hAnsiTheme="minorEastAsia" w:cstheme="minorEastAsia"/>
          <w:color w:val="auto"/>
          <w:sz w:val="21"/>
          <w:szCs w:val="21"/>
          <w:lang w:val="en-US" w:eastAsia="zh-CN"/>
        </w:rPr>
        <w:t>在职</w:t>
      </w:r>
      <w:r>
        <w:rPr>
          <w:rFonts w:hint="eastAsia" w:asciiTheme="minorEastAsia" w:hAnsiTheme="minorEastAsia" w:eastAsiaTheme="minorEastAsia" w:cstheme="minorEastAsia"/>
          <w:color w:val="auto"/>
          <w:sz w:val="21"/>
          <w:szCs w:val="21"/>
          <w:lang w:val="en-US" w:eastAsia="zh-CN"/>
        </w:rPr>
        <w:t>培训班。</w:t>
      </w:r>
      <w:r>
        <w:rPr>
          <w:rFonts w:hint="eastAsia" w:asciiTheme="minorEastAsia" w:hAnsiTheme="minorEastAsia" w:eastAsiaTheme="minorEastAsia" w:cstheme="minorEastAsia"/>
          <w:color w:val="auto"/>
          <w:sz w:val="21"/>
          <w:szCs w:val="21"/>
        </w:rPr>
        <w:t>改善与更新在职人员的</w:t>
      </w:r>
      <w:r>
        <w:rPr>
          <w:rFonts w:hint="eastAsia" w:asciiTheme="minorEastAsia" w:hAnsiTheme="minorEastAsia" w:cstheme="minorEastAsia"/>
          <w:color w:val="auto"/>
          <w:sz w:val="21"/>
          <w:szCs w:val="21"/>
          <w:lang w:val="en-US" w:eastAsia="zh-CN"/>
        </w:rPr>
        <w:t>会计</w:t>
      </w:r>
      <w:r>
        <w:rPr>
          <w:rFonts w:hint="eastAsia" w:asciiTheme="minorEastAsia" w:hAnsiTheme="minorEastAsia" w:eastAsiaTheme="minorEastAsia" w:cstheme="minorEastAsia"/>
          <w:color w:val="auto"/>
          <w:sz w:val="21"/>
          <w:szCs w:val="21"/>
          <w:lang w:val="en-US" w:eastAsia="zh-CN"/>
        </w:rPr>
        <w:t>学</w:t>
      </w:r>
      <w:r>
        <w:rPr>
          <w:rFonts w:hint="eastAsia" w:asciiTheme="minorEastAsia" w:hAnsiTheme="minorEastAsia" w:eastAsiaTheme="minorEastAsia" w:cstheme="minorEastAsia"/>
          <w:color w:val="auto"/>
          <w:sz w:val="21"/>
          <w:szCs w:val="21"/>
        </w:rPr>
        <w:t>知识结构，全方位拓展在</w:t>
      </w:r>
      <w:r>
        <w:rPr>
          <w:rFonts w:hint="eastAsia" w:asciiTheme="minorEastAsia" w:hAnsiTheme="minorEastAsia" w:eastAsiaTheme="minorEastAsia" w:cstheme="minorEastAsia"/>
          <w:color w:val="auto"/>
          <w:sz w:val="21"/>
          <w:szCs w:val="21"/>
          <w:lang w:val="en-US" w:eastAsia="zh-CN"/>
        </w:rPr>
        <w:t>企业</w:t>
      </w:r>
      <w:r>
        <w:rPr>
          <w:rFonts w:hint="eastAsia" w:asciiTheme="minorEastAsia" w:hAnsiTheme="minorEastAsia" w:eastAsiaTheme="minorEastAsia" w:cstheme="minorEastAsia"/>
          <w:color w:val="auto"/>
          <w:sz w:val="21"/>
          <w:szCs w:val="21"/>
        </w:rPr>
        <w:t>新形势下的</w:t>
      </w:r>
      <w:r>
        <w:rPr>
          <w:rFonts w:hint="eastAsia" w:asciiTheme="minorEastAsia" w:hAnsiTheme="minorEastAsia" w:cstheme="minorEastAsia"/>
          <w:color w:val="auto"/>
          <w:sz w:val="21"/>
          <w:szCs w:val="21"/>
          <w:lang w:val="en-US" w:eastAsia="zh-CN"/>
        </w:rPr>
        <w:t>会计</w:t>
      </w:r>
      <w:r>
        <w:rPr>
          <w:rFonts w:hint="eastAsia" w:asciiTheme="minorEastAsia" w:hAnsiTheme="minorEastAsia" w:eastAsiaTheme="minorEastAsia" w:cstheme="minorEastAsia"/>
          <w:color w:val="auto"/>
          <w:sz w:val="21"/>
          <w:szCs w:val="21"/>
          <w:lang w:val="en-US" w:eastAsia="zh-CN"/>
        </w:rPr>
        <w:t>学相关</w:t>
      </w:r>
      <w:r>
        <w:rPr>
          <w:rFonts w:hint="eastAsia" w:asciiTheme="minorEastAsia" w:hAnsiTheme="minorEastAsia" w:eastAsiaTheme="minorEastAsia" w:cstheme="minorEastAsia"/>
          <w:color w:val="auto"/>
          <w:sz w:val="21"/>
          <w:szCs w:val="21"/>
        </w:rPr>
        <w:t>战略视野和提升职业发展潜力，</w:t>
      </w:r>
      <w:r>
        <w:rPr>
          <w:rFonts w:hint="eastAsia" w:asciiTheme="minorEastAsia" w:hAnsiTheme="minorEastAsia" w:eastAsiaTheme="minorEastAsia" w:cstheme="minorEastAsia"/>
          <w:color w:val="auto"/>
          <w:sz w:val="21"/>
          <w:szCs w:val="21"/>
          <w:lang w:val="en-US" w:eastAsia="zh-CN"/>
        </w:rPr>
        <w:t>培养</w:t>
      </w:r>
      <w:r>
        <w:rPr>
          <w:rFonts w:hint="eastAsia" w:asciiTheme="minorEastAsia" w:hAnsiTheme="minorEastAsia" w:cstheme="minorEastAsia"/>
          <w:color w:val="auto"/>
          <w:sz w:val="21"/>
          <w:szCs w:val="21"/>
          <w:lang w:val="en-US" w:eastAsia="zh-CN"/>
        </w:rPr>
        <w:t>会计</w:t>
      </w:r>
      <w:r>
        <w:rPr>
          <w:rFonts w:hint="eastAsia" w:asciiTheme="minorEastAsia" w:hAnsiTheme="minorEastAsia" w:eastAsiaTheme="minorEastAsia" w:cstheme="minorEastAsia"/>
          <w:color w:val="auto"/>
          <w:sz w:val="21"/>
          <w:szCs w:val="21"/>
          <w:lang w:val="en-US" w:eastAsia="zh-CN"/>
        </w:rPr>
        <w:t>学专业</w:t>
      </w:r>
      <w:r>
        <w:rPr>
          <w:rFonts w:hint="eastAsia" w:asciiTheme="minorEastAsia" w:hAnsiTheme="minorEastAsia" w:eastAsiaTheme="minorEastAsia" w:cstheme="minorEastAsia"/>
          <w:color w:val="auto"/>
          <w:sz w:val="21"/>
          <w:szCs w:val="21"/>
        </w:rPr>
        <w:t>人才</w:t>
      </w:r>
      <w:r>
        <w:rPr>
          <w:rFonts w:hint="eastAsia" w:asciiTheme="minorEastAsia" w:hAnsiTheme="minorEastAsia" w:eastAsiaTheme="minorEastAsia" w:cstheme="minorEastAsia"/>
          <w:color w:val="auto"/>
          <w:sz w:val="21"/>
          <w:szCs w:val="21"/>
          <w:lang w:eastAsia="zh-CN"/>
        </w:rPr>
        <w:t>。</w:t>
      </w:r>
    </w:p>
    <w:p w14:paraId="0E534F5A">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606C85A8">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培养目标</w:t>
      </w:r>
    </w:p>
    <w:p w14:paraId="7317A4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本专业主要培养德才兼备，具有扎实</w:t>
      </w:r>
      <w:r>
        <w:rPr>
          <w:rFonts w:hint="eastAsia" w:asciiTheme="minorEastAsia" w:hAnsiTheme="minorEastAsia" w:cstheme="minorEastAsia"/>
          <w:color w:val="auto"/>
          <w:sz w:val="21"/>
          <w:szCs w:val="21"/>
          <w:lang w:val="en-US" w:eastAsia="zh-CN"/>
        </w:rPr>
        <w:t>会计</w:t>
      </w:r>
      <w:r>
        <w:rPr>
          <w:rFonts w:hint="eastAsia" w:asciiTheme="minorEastAsia" w:hAnsiTheme="minorEastAsia" w:eastAsiaTheme="minorEastAsia" w:cstheme="minorEastAsia"/>
          <w:color w:val="auto"/>
          <w:sz w:val="21"/>
          <w:szCs w:val="21"/>
          <w:lang w:val="en-US" w:eastAsia="zh-CN"/>
        </w:rPr>
        <w:t>学专业理论基础和熟练的职业技能、合理的知识结构，通过学习和掌握</w:t>
      </w:r>
      <w:r>
        <w:rPr>
          <w:rFonts w:hint="eastAsia" w:asciiTheme="minorEastAsia" w:hAnsiTheme="minorEastAsia" w:cstheme="minorEastAsia"/>
          <w:color w:val="auto"/>
          <w:sz w:val="21"/>
          <w:szCs w:val="21"/>
          <w:lang w:val="en-US" w:eastAsia="zh-CN"/>
        </w:rPr>
        <w:t>会计</w:t>
      </w:r>
      <w:r>
        <w:rPr>
          <w:rFonts w:hint="eastAsia" w:asciiTheme="minorEastAsia" w:hAnsiTheme="minorEastAsia" w:eastAsiaTheme="minorEastAsia" w:cstheme="minorEastAsia"/>
          <w:color w:val="auto"/>
          <w:sz w:val="21"/>
          <w:szCs w:val="21"/>
          <w:lang w:val="en-US" w:eastAsia="zh-CN"/>
        </w:rPr>
        <w:t>学基础理论，具备</w:t>
      </w:r>
      <w:r>
        <w:rPr>
          <w:rFonts w:hint="eastAsia" w:asciiTheme="minorEastAsia" w:hAnsiTheme="minorEastAsia" w:cstheme="minorEastAsia"/>
          <w:color w:val="auto"/>
          <w:sz w:val="21"/>
          <w:szCs w:val="21"/>
          <w:lang w:val="en-US" w:eastAsia="zh-CN"/>
        </w:rPr>
        <w:t>人文素养、科学精神、诚信品质、实践能力和国际视野，通晓经济、管理、法律等交叉学科基础知识，熟知会计与财务逻辑、数据分析逻辑、计算机应用逻辑等专业知识，培养熟悉国际经贸理论与实务，能够从事会计、审计和管理咨询工作的国际化、应用型复合型、创新型高素质专业人才。</w:t>
      </w:r>
    </w:p>
    <w:p w14:paraId="67A44099">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4679FC1F">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特色优势</w:t>
      </w:r>
    </w:p>
    <w:p w14:paraId="3C2E4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1、【外贸实力雄厚】</w:t>
      </w:r>
      <w:r>
        <w:rPr>
          <w:rFonts w:hint="eastAsia" w:asciiTheme="minorEastAsia" w:hAnsiTheme="minorEastAsia" w:eastAsiaTheme="minorEastAsia" w:cstheme="minorEastAsia"/>
          <w:color w:val="auto"/>
          <w:sz w:val="21"/>
          <w:szCs w:val="21"/>
        </w:rPr>
        <w:t>上海对外经贸大学被誉为“中国对外经贸人才的摇篮”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是</w:t>
      </w:r>
      <w:r>
        <w:rPr>
          <w:rFonts w:hint="eastAsia" w:asciiTheme="minorEastAsia" w:hAnsiTheme="minorEastAsia" w:eastAsiaTheme="minorEastAsia" w:cstheme="minorEastAsia"/>
          <w:color w:val="auto"/>
          <w:sz w:val="21"/>
          <w:szCs w:val="21"/>
        </w:rPr>
        <w:t>WTO全球7个培训伙伴中在中国内地设立的唯一区域培训合作伙伴</w:t>
      </w:r>
      <w:r>
        <w:rPr>
          <w:rFonts w:hint="eastAsia" w:asciiTheme="minorEastAsia" w:hAnsiTheme="minorEastAsia" w:eastAsiaTheme="minorEastAsia" w:cstheme="minorEastAsia"/>
          <w:color w:val="auto"/>
          <w:sz w:val="21"/>
          <w:szCs w:val="21"/>
          <w:lang w:eastAsia="zh-CN"/>
        </w:rPr>
        <w:t>；</w:t>
      </w:r>
    </w:p>
    <w:p w14:paraId="6CFF19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2、【正规硕士教育】：科学完整的课程体系，符合条件者可申请硕士学位；</w:t>
      </w:r>
    </w:p>
    <w:p w14:paraId="6F7AFF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3、【免试审核入学】：采取资格审核方式入学，免试入学；</w:t>
      </w:r>
    </w:p>
    <w:p w14:paraId="2847B8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4、【多次申硕机会】：可以多次参加申硕全国统考；</w:t>
      </w:r>
    </w:p>
    <w:p w14:paraId="3FEE02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5、【共享学校资源】：可享受与在校生同等的电子数据资源，获得我校校友会会员资格。</w:t>
      </w:r>
    </w:p>
    <w:p w14:paraId="07C414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p>
    <w:p w14:paraId="4ECC7D10">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课程设置</w:t>
      </w:r>
    </w:p>
    <w:tbl>
      <w:tblPr>
        <w:tblStyle w:val="5"/>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4"/>
        <w:gridCol w:w="2737"/>
        <w:gridCol w:w="2992"/>
        <w:gridCol w:w="6"/>
      </w:tblGrid>
      <w:tr w14:paraId="2506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399" w:type="dxa"/>
            <w:gridSpan w:val="4"/>
            <w:noWrap w:val="0"/>
            <w:vAlign w:val="top"/>
          </w:tcPr>
          <w:p w14:paraId="254C52DD">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b/>
                <w:bCs/>
                <w:color w:val="auto"/>
                <w:sz w:val="21"/>
                <w:szCs w:val="21"/>
                <w:lang w:val="en-US" w:eastAsia="zh-CN"/>
              </w:rPr>
              <w:t>会计</w:t>
            </w:r>
            <w:r>
              <w:rPr>
                <w:rFonts w:hint="eastAsia" w:asciiTheme="minorEastAsia" w:hAnsiTheme="minorEastAsia" w:eastAsiaTheme="minorEastAsia" w:cstheme="minorEastAsia"/>
                <w:b/>
                <w:bCs/>
                <w:color w:val="auto"/>
                <w:sz w:val="21"/>
                <w:szCs w:val="21"/>
                <w:lang w:val="en-US" w:eastAsia="zh-CN"/>
              </w:rPr>
              <w:t>学专业</w:t>
            </w:r>
            <w:r>
              <w:rPr>
                <w:rFonts w:hint="eastAsia" w:asciiTheme="minorEastAsia" w:hAnsiTheme="minorEastAsia" w:eastAsiaTheme="minorEastAsia" w:cstheme="minorEastAsia"/>
                <w:b/>
                <w:bCs/>
                <w:color w:val="auto"/>
                <w:sz w:val="21"/>
                <w:szCs w:val="21"/>
              </w:rPr>
              <w:t>课程设置</w:t>
            </w:r>
          </w:p>
        </w:tc>
      </w:tr>
      <w:tr w14:paraId="4E9F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21237ADA">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社会主义经济理论</w:t>
            </w:r>
          </w:p>
        </w:tc>
        <w:tc>
          <w:tcPr>
            <w:tcW w:w="2737" w:type="dxa"/>
            <w:noWrap w:val="0"/>
            <w:vAlign w:val="top"/>
          </w:tcPr>
          <w:p w14:paraId="77E65224">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英语听说</w:t>
            </w:r>
          </w:p>
        </w:tc>
        <w:tc>
          <w:tcPr>
            <w:tcW w:w="2992" w:type="dxa"/>
            <w:noWrap w:val="0"/>
            <w:vAlign w:val="top"/>
          </w:tcPr>
          <w:p w14:paraId="0E9DC5B0">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管理学原理</w:t>
            </w:r>
          </w:p>
        </w:tc>
      </w:tr>
      <w:tr w14:paraId="28A8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6477084E">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市场营销学</w:t>
            </w:r>
          </w:p>
        </w:tc>
        <w:tc>
          <w:tcPr>
            <w:tcW w:w="2737" w:type="dxa"/>
            <w:noWrap w:val="0"/>
            <w:vAlign w:val="top"/>
          </w:tcPr>
          <w:p w14:paraId="205C403C">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战略管理</w:t>
            </w:r>
          </w:p>
        </w:tc>
        <w:tc>
          <w:tcPr>
            <w:tcW w:w="2992" w:type="dxa"/>
            <w:noWrap w:val="0"/>
            <w:vAlign w:val="top"/>
          </w:tcPr>
          <w:p w14:paraId="5230E2F1">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财务管理</w:t>
            </w:r>
          </w:p>
        </w:tc>
      </w:tr>
      <w:tr w14:paraId="191B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0B7E2DDF">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综合英语</w:t>
            </w:r>
          </w:p>
        </w:tc>
        <w:tc>
          <w:tcPr>
            <w:tcW w:w="2737" w:type="dxa"/>
            <w:noWrap w:val="0"/>
            <w:vAlign w:val="top"/>
          </w:tcPr>
          <w:p w14:paraId="4B610599">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财务会计理论与实务</w:t>
            </w:r>
          </w:p>
        </w:tc>
        <w:tc>
          <w:tcPr>
            <w:tcW w:w="2992" w:type="dxa"/>
            <w:noWrap w:val="0"/>
            <w:vAlign w:val="top"/>
          </w:tcPr>
          <w:p w14:paraId="547A1230">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成本管理会计理论与实务</w:t>
            </w:r>
          </w:p>
        </w:tc>
      </w:tr>
      <w:tr w14:paraId="6406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3B04B1BF">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审计理论与实务</w:t>
            </w:r>
          </w:p>
        </w:tc>
        <w:tc>
          <w:tcPr>
            <w:tcW w:w="2737" w:type="dxa"/>
            <w:noWrap w:val="0"/>
            <w:vAlign w:val="top"/>
          </w:tcPr>
          <w:p w14:paraId="25913E7F">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财务报表与企业经营分析</w:t>
            </w:r>
          </w:p>
        </w:tc>
        <w:tc>
          <w:tcPr>
            <w:tcW w:w="2992" w:type="dxa"/>
            <w:noWrap w:val="0"/>
            <w:vAlign w:val="top"/>
          </w:tcPr>
          <w:p w14:paraId="6758F596">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大数据会计分析</w:t>
            </w:r>
          </w:p>
        </w:tc>
      </w:tr>
    </w:tbl>
    <w:p w14:paraId="00F7BB8E">
      <w:pPr>
        <w:pStyle w:val="4"/>
        <w:keepNext w:val="0"/>
        <w:keepLines w:val="0"/>
        <w:pageBreakBefore w:val="0"/>
        <w:kinsoku/>
        <w:wordWrap/>
        <w:overflowPunct/>
        <w:topLinePunct w:val="0"/>
        <w:autoSpaceDE/>
        <w:autoSpaceDN/>
        <w:bidi w:val="0"/>
        <w:adjustRightInd/>
        <w:snapToGrid w:val="0"/>
        <w:spacing w:line="360" w:lineRule="auto"/>
        <w:ind w:firstLine="2940" w:firstLineChars="1400"/>
        <w:contextualSpacing/>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注：部分课程教学参照</w:t>
      </w:r>
      <w:r>
        <w:rPr>
          <w:rFonts w:hint="eastAsia" w:asciiTheme="minorEastAsia" w:hAnsiTheme="minorEastAsia" w:eastAsiaTheme="minorEastAsia" w:cstheme="minorEastAsia"/>
          <w:color w:val="auto"/>
          <w:sz w:val="21"/>
          <w:szCs w:val="21"/>
          <w:lang w:val="en-US" w:eastAsia="zh-CN"/>
        </w:rPr>
        <w:t>实际</w:t>
      </w:r>
    </w:p>
    <w:p w14:paraId="228DEF52">
      <w:pPr>
        <w:pStyle w:val="4"/>
        <w:keepNext w:val="0"/>
        <w:keepLines w:val="0"/>
        <w:pageBreakBefore w:val="0"/>
        <w:kinsoku/>
        <w:wordWrap/>
        <w:overflowPunct/>
        <w:topLinePunct w:val="0"/>
        <w:autoSpaceDE/>
        <w:autoSpaceDN/>
        <w:bidi w:val="0"/>
        <w:adjustRightInd/>
        <w:snapToGrid w:val="0"/>
        <w:spacing w:line="360" w:lineRule="auto"/>
        <w:ind w:firstLine="2940" w:firstLineChars="1400"/>
        <w:contextualSpacing/>
        <w:textAlignment w:val="auto"/>
        <w:rPr>
          <w:rFonts w:hint="eastAsia" w:asciiTheme="minorEastAsia" w:hAnsiTheme="minorEastAsia" w:eastAsiaTheme="minorEastAsia" w:cstheme="minorEastAsia"/>
          <w:color w:val="auto"/>
          <w:sz w:val="21"/>
          <w:szCs w:val="21"/>
          <w:lang w:val="en-US" w:eastAsia="zh-CN"/>
        </w:rPr>
      </w:pPr>
    </w:p>
    <w:p w14:paraId="275C3C5C">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报考条件</w:t>
      </w:r>
    </w:p>
    <w:p w14:paraId="77D1374F">
      <w:pPr>
        <w:keepNext w:val="0"/>
        <w:keepLines w:val="0"/>
        <w:pageBreakBefore w:val="0"/>
        <w:numPr>
          <w:ilvl w:val="0"/>
          <w:numId w:val="2"/>
        </w:numPr>
        <w:kinsoku/>
        <w:wordWrap/>
        <w:overflowPunct/>
        <w:topLinePunct w:val="0"/>
        <w:autoSpaceDE/>
        <w:autoSpaceDN/>
        <w:bidi w:val="0"/>
        <w:adjustRightInd/>
        <w:spacing w:line="360" w:lineRule="auto"/>
        <w:ind w:left="420" w:leftChars="20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遵纪守法，品行端正，在教学、科研、专门技术、管理等方面做出成绩的在职人</w:t>
      </w:r>
    </w:p>
    <w:p w14:paraId="7E13C139">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已获得</w:t>
      </w:r>
      <w:r>
        <w:rPr>
          <w:rFonts w:hint="eastAsia" w:asciiTheme="minorEastAsia" w:hAnsiTheme="minorEastAsia" w:eastAsiaTheme="minorEastAsia" w:cstheme="minorEastAsia"/>
          <w:color w:val="auto"/>
          <w:sz w:val="21"/>
          <w:szCs w:val="21"/>
          <w:lang w:val="en-US" w:eastAsia="zh-CN"/>
        </w:rPr>
        <w:t>本科</w:t>
      </w:r>
      <w:r>
        <w:rPr>
          <w:rFonts w:hint="eastAsia" w:asciiTheme="minorEastAsia" w:hAnsiTheme="minorEastAsia" w:eastAsiaTheme="minorEastAsia" w:cstheme="minorEastAsia"/>
          <w:color w:val="auto"/>
          <w:sz w:val="21"/>
          <w:szCs w:val="21"/>
        </w:rPr>
        <w:t>学士学位，并在获得学士学位后工作三年以上，或虽无学士学位但已获得硕士或博士学位。对已获得学士、硕士或博士学位为国(境)外学位的，其所获的国(境)外学位需经教育部留学服务中心认证；</w:t>
      </w:r>
    </w:p>
    <w:p w14:paraId="7AD286F2">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大专学历和本科学历无学士学位者，可参加高级培训班。</w:t>
      </w:r>
    </w:p>
    <w:p w14:paraId="0ADBA269">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p>
    <w:p w14:paraId="36EF35AF">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六、报名材料</w:t>
      </w:r>
    </w:p>
    <w:p w14:paraId="72F90107">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1、身份证原件及复印件1份；</w:t>
      </w:r>
    </w:p>
    <w:p w14:paraId="53688860">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2、本科毕业证原件及复印件1份；</w:t>
      </w:r>
    </w:p>
    <w:p w14:paraId="28E792FB">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3、学士学位证书原件及复印件1份； </w:t>
      </w:r>
    </w:p>
    <w:p w14:paraId="53EE3F26">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4、两寸证件照片3张。</w:t>
      </w:r>
    </w:p>
    <w:p w14:paraId="4F586554">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0F461EF9">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color w:val="auto"/>
          <w:sz w:val="21"/>
          <w:szCs w:val="21"/>
          <w:lang w:val="en-US" w:eastAsia="zh-CN"/>
        </w:rPr>
        <w:t>七、</w:t>
      </w:r>
      <w:r>
        <w:rPr>
          <w:rFonts w:hint="eastAsia" w:asciiTheme="minorEastAsia" w:hAnsiTheme="minorEastAsia" w:eastAsiaTheme="minorEastAsia" w:cstheme="minorEastAsia"/>
          <w:b/>
          <w:bCs/>
          <w:color w:val="auto"/>
          <w:sz w:val="21"/>
          <w:szCs w:val="21"/>
          <w:lang w:val="en-US" w:eastAsia="zh-CN"/>
        </w:rPr>
        <w:t>培养方式</w:t>
      </w:r>
    </w:p>
    <w:p w14:paraId="563D9A9E">
      <w:pPr>
        <w:keepNext w:val="0"/>
        <w:keepLines w:val="0"/>
        <w:pageBreakBefore w:val="0"/>
        <w:numPr>
          <w:ilvl w:val="0"/>
          <w:numId w:val="0"/>
        </w:numPr>
        <w:kinsoku/>
        <w:wordWrap/>
        <w:overflowPunct/>
        <w:topLinePunct w:val="0"/>
        <w:autoSpaceDE/>
        <w:autoSpaceDN/>
        <w:bidi w:val="0"/>
        <w:adjustRightInd/>
        <w:spacing w:line="360" w:lineRule="auto"/>
        <w:ind w:left="210" w:leftChars="0" w:firstLine="210" w:firstLineChars="1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在职不脱产学习，学习期限2年，周</w:t>
      </w:r>
      <w:r>
        <w:rPr>
          <w:rFonts w:hint="eastAsia" w:asciiTheme="minorEastAsia" w:hAnsiTheme="minorEastAsia" w:cstheme="minorEastAsia"/>
          <w:color w:val="auto"/>
          <w:sz w:val="21"/>
          <w:szCs w:val="21"/>
          <w:lang w:val="en-US" w:eastAsia="zh-CN"/>
        </w:rPr>
        <w:t>日</w:t>
      </w:r>
      <w:r>
        <w:rPr>
          <w:rFonts w:hint="eastAsia" w:asciiTheme="minorEastAsia" w:hAnsiTheme="minorEastAsia" w:eastAsiaTheme="minorEastAsia" w:cstheme="minorEastAsia"/>
          <w:color w:val="auto"/>
          <w:sz w:val="21"/>
          <w:szCs w:val="21"/>
          <w:lang w:val="en-US" w:eastAsia="zh-CN"/>
        </w:rPr>
        <w:t>网络</w:t>
      </w:r>
      <w:r>
        <w:rPr>
          <w:rFonts w:hint="eastAsia" w:asciiTheme="minorEastAsia" w:hAnsiTheme="minorEastAsia" w:eastAsiaTheme="minorEastAsia" w:cstheme="minorEastAsia"/>
          <w:color w:val="auto"/>
          <w:sz w:val="21"/>
          <w:szCs w:val="21"/>
        </w:rPr>
        <w:t>授课</w:t>
      </w:r>
      <w:r>
        <w:rPr>
          <w:rFonts w:hint="eastAsia" w:asciiTheme="minorEastAsia" w:hAnsiTheme="minorEastAsia" w:cstheme="minorEastAsia"/>
          <w:color w:val="auto"/>
          <w:sz w:val="21"/>
          <w:szCs w:val="21"/>
          <w:lang w:eastAsia="zh-CN"/>
        </w:rPr>
        <w:t>；</w:t>
      </w:r>
    </w:p>
    <w:p w14:paraId="72074652">
      <w:pPr>
        <w:keepNext w:val="0"/>
        <w:keepLines w:val="0"/>
        <w:pageBreakBefore w:val="0"/>
        <w:numPr>
          <w:ilvl w:val="0"/>
          <w:numId w:val="0"/>
        </w:numPr>
        <w:kinsoku/>
        <w:wordWrap/>
        <w:overflowPunct/>
        <w:topLinePunct w:val="0"/>
        <w:autoSpaceDE/>
        <w:autoSpaceDN/>
        <w:bidi w:val="0"/>
        <w:adjustRightInd/>
        <w:spacing w:line="360" w:lineRule="auto"/>
        <w:ind w:left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专业课程高级培训班，一年开班两次，分别为春季班3月及秋季班9月。</w:t>
      </w:r>
    </w:p>
    <w:p w14:paraId="018FB99E">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49E7C1AE">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八、收费标准</w:t>
      </w:r>
    </w:p>
    <w:p w14:paraId="3F246BDE">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学费：35000元</w:t>
      </w:r>
    </w:p>
    <w:p w14:paraId="77CC7777">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cstheme="minorEastAsia"/>
          <w:b w:val="0"/>
          <w:bCs w:val="0"/>
          <w:color w:val="auto"/>
          <w:sz w:val="21"/>
          <w:szCs w:val="21"/>
          <w:lang w:val="en-US" w:eastAsia="zh-CN"/>
        </w:rPr>
        <w:t>论文指导费</w:t>
      </w:r>
      <w:r>
        <w:rPr>
          <w:rFonts w:hint="eastAsia" w:asciiTheme="minorEastAsia" w:hAnsiTheme="minorEastAsia" w:eastAsiaTheme="minorEastAsia" w:cstheme="minorEastAsia"/>
          <w:b w:val="0"/>
          <w:bCs w:val="0"/>
          <w:color w:val="auto"/>
          <w:sz w:val="21"/>
          <w:szCs w:val="21"/>
          <w:lang w:val="en-US" w:eastAsia="zh-CN"/>
        </w:rPr>
        <w:t>：</w:t>
      </w:r>
      <w:r>
        <w:rPr>
          <w:rFonts w:hint="eastAsia" w:asciiTheme="minorEastAsia" w:hAnsi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lang w:val="en-US" w:eastAsia="zh-CN"/>
        </w:rPr>
        <w:t>000元</w:t>
      </w:r>
    </w:p>
    <w:p w14:paraId="08316852">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0C337186">
      <w:pPr>
        <w:keepNext w:val="0"/>
        <w:keepLines w:val="0"/>
        <w:pageBreakBefore w:val="0"/>
        <w:numPr>
          <w:ilvl w:val="0"/>
          <w:numId w:val="3"/>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获取证书</w:t>
      </w:r>
    </w:p>
    <w:p w14:paraId="4219078D">
      <w:pPr>
        <w:keepNext w:val="0"/>
        <w:keepLines w:val="0"/>
        <w:pageBreakBefore w:val="0"/>
        <w:numPr>
          <w:ilvl w:val="0"/>
          <w:numId w:val="4"/>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学员按教学计划完成全部课程学习且考试合格者，颁发上海对外经贸大学专业课程高级培训班结业证书</w:t>
      </w:r>
      <w:r>
        <w:rPr>
          <w:rFonts w:hint="eastAsia" w:asciiTheme="minorEastAsia" w:hAnsiTheme="minorEastAsia" w:cstheme="minorEastAsia"/>
          <w:color w:val="auto"/>
          <w:sz w:val="21"/>
          <w:szCs w:val="21"/>
          <w:lang w:eastAsia="zh-CN"/>
        </w:rPr>
        <w:t>；</w:t>
      </w:r>
    </w:p>
    <w:p w14:paraId="7B0985DA">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具有学士学位的学员且完成专业课程高级培训班全部课程学习，通过同等学力申硕全国统一考试（考试科目根据专业有所区别）后，可申请进入硕士学位论文撰写阶段。通过硕士论文答辩者，根据《上海对外经贸大学研究生学位管理办法实施细则》授予硕士学位。</w:t>
      </w:r>
    </w:p>
    <w:p w14:paraId="750F9C16">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14394">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64150"/>
          <wp:effectExtent l="0" t="0" r="2540" b="12700"/>
          <wp:wrapNone/>
          <wp:docPr id="1" name="WordPictureWatermark20675" descr="上海对外经贸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675" descr="上海对外经贸大学LOGO"/>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0C4E0"/>
    <w:multiLevelType w:val="singleLevel"/>
    <w:tmpl w:val="E400C4E0"/>
    <w:lvl w:ilvl="0" w:tentative="0">
      <w:start w:val="1"/>
      <w:numFmt w:val="decimal"/>
      <w:suff w:val="nothing"/>
      <w:lvlText w:val="%1、"/>
      <w:lvlJc w:val="left"/>
    </w:lvl>
  </w:abstractNum>
  <w:abstractNum w:abstractNumId="1">
    <w:nsid w:val="3677D025"/>
    <w:multiLevelType w:val="singleLevel"/>
    <w:tmpl w:val="3677D025"/>
    <w:lvl w:ilvl="0" w:tentative="0">
      <w:start w:val="1"/>
      <w:numFmt w:val="decimal"/>
      <w:suff w:val="nothing"/>
      <w:lvlText w:val="%1、"/>
      <w:lvlJc w:val="left"/>
    </w:lvl>
  </w:abstractNum>
  <w:abstractNum w:abstractNumId="2">
    <w:nsid w:val="49BD8620"/>
    <w:multiLevelType w:val="singleLevel"/>
    <w:tmpl w:val="49BD8620"/>
    <w:lvl w:ilvl="0" w:tentative="0">
      <w:start w:val="9"/>
      <w:numFmt w:val="chineseCounting"/>
      <w:suff w:val="nothing"/>
      <w:lvlText w:val="%1、"/>
      <w:lvlJc w:val="left"/>
      <w:rPr>
        <w:rFonts w:hint="eastAsia"/>
      </w:rPr>
    </w:lvl>
  </w:abstractNum>
  <w:abstractNum w:abstractNumId="3">
    <w:nsid w:val="68E0B413"/>
    <w:multiLevelType w:val="singleLevel"/>
    <w:tmpl w:val="68E0B413"/>
    <w:lvl w:ilvl="0" w:tentative="0">
      <w:start w:val="1"/>
      <w:numFmt w:val="chineseCounting"/>
      <w:suff w:val="nothing"/>
      <w:lvlText w:val="%1、"/>
      <w:lvlJc w:val="left"/>
      <w:pPr>
        <w:ind w:left="21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CCD26A1"/>
    <w:rsid w:val="003D17CC"/>
    <w:rsid w:val="0261662C"/>
    <w:rsid w:val="03F4527E"/>
    <w:rsid w:val="04461F7D"/>
    <w:rsid w:val="081E0B1B"/>
    <w:rsid w:val="0A505139"/>
    <w:rsid w:val="0CCD26A1"/>
    <w:rsid w:val="0E1462B7"/>
    <w:rsid w:val="10BE10ED"/>
    <w:rsid w:val="12FC5E1A"/>
    <w:rsid w:val="15F01D49"/>
    <w:rsid w:val="16750377"/>
    <w:rsid w:val="1CB3587E"/>
    <w:rsid w:val="1EA5704B"/>
    <w:rsid w:val="219043E0"/>
    <w:rsid w:val="21BB211E"/>
    <w:rsid w:val="21F7445F"/>
    <w:rsid w:val="22CC1448"/>
    <w:rsid w:val="272950BB"/>
    <w:rsid w:val="27F531EF"/>
    <w:rsid w:val="27FC27CF"/>
    <w:rsid w:val="2A0153F7"/>
    <w:rsid w:val="2AD76BDC"/>
    <w:rsid w:val="2DED04D4"/>
    <w:rsid w:val="307224F7"/>
    <w:rsid w:val="32706BB8"/>
    <w:rsid w:val="35773495"/>
    <w:rsid w:val="36FC6348"/>
    <w:rsid w:val="396106E4"/>
    <w:rsid w:val="3A122BC3"/>
    <w:rsid w:val="3A443B62"/>
    <w:rsid w:val="3BF70E8C"/>
    <w:rsid w:val="3C4F313E"/>
    <w:rsid w:val="3E1C2E2C"/>
    <w:rsid w:val="41412BA9"/>
    <w:rsid w:val="46A830D8"/>
    <w:rsid w:val="478B1022"/>
    <w:rsid w:val="47C14A44"/>
    <w:rsid w:val="4D907392"/>
    <w:rsid w:val="4EB32846"/>
    <w:rsid w:val="53682217"/>
    <w:rsid w:val="553A6BA6"/>
    <w:rsid w:val="55A4223D"/>
    <w:rsid w:val="57FF131D"/>
    <w:rsid w:val="58B16112"/>
    <w:rsid w:val="595B0854"/>
    <w:rsid w:val="5D0D248D"/>
    <w:rsid w:val="628241FD"/>
    <w:rsid w:val="639D7CBB"/>
    <w:rsid w:val="64CF0348"/>
    <w:rsid w:val="65D976D1"/>
    <w:rsid w:val="676B299A"/>
    <w:rsid w:val="694F1A58"/>
    <w:rsid w:val="698E432E"/>
    <w:rsid w:val="6BF22164"/>
    <w:rsid w:val="6BF22EEB"/>
    <w:rsid w:val="6D2154B9"/>
    <w:rsid w:val="6F086931"/>
    <w:rsid w:val="74277859"/>
    <w:rsid w:val="755A1EB0"/>
    <w:rsid w:val="75D21A46"/>
    <w:rsid w:val="793D4782"/>
    <w:rsid w:val="79E00B0E"/>
    <w:rsid w:val="7A230AC3"/>
    <w:rsid w:val="7C5235DB"/>
    <w:rsid w:val="7C647170"/>
    <w:rsid w:val="7D961E9A"/>
    <w:rsid w:val="7F675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1534</Words>
  <Characters>1574</Characters>
  <Lines>0</Lines>
  <Paragraphs>0</Paragraphs>
  <TotalTime>11</TotalTime>
  <ScaleCrop>false</ScaleCrop>
  <LinksUpToDate>false</LinksUpToDate>
  <CharactersWithSpaces>1591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2022-03-04T02:04:00Z</dcterms:created>
  <dc:creator>Administrator</dc:creator>
  <cp:lastModifiedBy>Administrator</cp:lastModifiedBy>
  <dcterms:modified xsi:type="dcterms:W3CDTF">2026-01-15T08:30:02Z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A73155D31BBC445A906AEEA5590F6DE3_13</vt:lpwstr>
  </property>
  <property fmtid="{D5CDD505-2E9C-101B-9397-08002B2CF9AE}" pid="4" name="KSOTemplateDocerSaveRecord">
    <vt:lpwstr>eyJoZGlkIjoiMjJkYmYyOGQwNjU2YTFjYjBlYWQzZDdlZjc2Nzk1ZWYifQ==</vt:lpwstr>
  </property>
</Properties>
</file>