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B7FFD9">
      <w:pPr>
        <w:pStyle w:val="5"/>
        <w:snapToGrid w:val="0"/>
        <w:spacing w:line="360" w:lineRule="auto"/>
        <w:ind w:left="3150" w:hanging="3150" w:hangingChars="1500"/>
        <w:contextualSpacing/>
        <w:rPr>
          <w:rFonts w:asciiTheme="minorEastAsia" w:hAnsiTheme="minorEastAsia" w:eastAsiaTheme="minorEastAsia"/>
          <w:sz w:val="21"/>
          <w:szCs w:val="21"/>
        </w:rPr>
      </w:pPr>
      <w:r>
        <w:rPr>
          <w:rFonts w:hint="eastAsia" w:asciiTheme="minorEastAsia" w:hAnsiTheme="minorEastAsia" w:eastAsiaTheme="minorEastAsia"/>
          <w:sz w:val="21"/>
          <w:szCs w:val="21"/>
        </w:rPr>
        <w:drawing>
          <wp:inline distT="0" distB="0" distL="0" distR="0">
            <wp:extent cx="5274310" cy="1005205"/>
            <wp:effectExtent l="19050" t="0" r="2540" b="0"/>
            <wp:docPr id="2" name="图片 1" descr="11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111.png"/>
                    <pic:cNvPicPr>
                      <a:picLocks noChangeAspect="1"/>
                    </pic:cNvPicPr>
                  </pic:nvPicPr>
                  <pic:blipFill>
                    <a:blip r:embed="rId7" cstate="print"/>
                    <a:stretch>
                      <a:fillRect/>
                    </a:stretch>
                  </pic:blipFill>
                  <pic:spPr>
                    <a:xfrm>
                      <a:off x="0" y="0"/>
                      <a:ext cx="5274310" cy="1005205"/>
                    </a:xfrm>
                    <a:prstGeom prst="rect">
                      <a:avLst/>
                    </a:prstGeom>
                  </pic:spPr>
                </pic:pic>
              </a:graphicData>
            </a:graphic>
          </wp:inline>
        </w:drawing>
      </w:r>
    </w:p>
    <w:p w14:paraId="0DCE08BD">
      <w:pPr>
        <w:pStyle w:val="5"/>
        <w:snapToGrid w:val="0"/>
        <w:spacing w:line="360" w:lineRule="auto"/>
        <w:ind w:left="2740" w:leftChars="100" w:hanging="2530" w:hangingChars="700"/>
        <w:contextualSpacing/>
        <w:jc w:val="center"/>
        <w:rPr>
          <w:rFonts w:asciiTheme="majorEastAsia" w:hAnsiTheme="majorEastAsia" w:eastAsiaTheme="majorEastAsia"/>
          <w:b/>
          <w:sz w:val="36"/>
          <w:szCs w:val="36"/>
        </w:rPr>
      </w:pPr>
    </w:p>
    <w:p w14:paraId="1E3DCCF7">
      <w:pPr>
        <w:pStyle w:val="5"/>
        <w:snapToGrid w:val="0"/>
        <w:spacing w:line="360" w:lineRule="auto"/>
        <w:ind w:left="2740" w:leftChars="100" w:hanging="2530" w:hangingChars="700"/>
        <w:contextualSpacing/>
        <w:jc w:val="center"/>
        <w:rPr>
          <w:rFonts w:asciiTheme="majorEastAsia" w:hAnsiTheme="majorEastAsia" w:eastAsiaTheme="majorEastAsia"/>
          <w:b/>
          <w:sz w:val="36"/>
          <w:szCs w:val="36"/>
        </w:rPr>
      </w:pPr>
      <w:r>
        <w:rPr>
          <w:rFonts w:asciiTheme="majorEastAsia" w:hAnsiTheme="majorEastAsia" w:eastAsiaTheme="majorEastAsia"/>
          <w:b/>
          <w:sz w:val="36"/>
          <w:szCs w:val="36"/>
        </w:rPr>
        <w:t>江西财经大学</w:t>
      </w:r>
      <w:r>
        <w:rPr>
          <w:rFonts w:hint="eastAsia" w:asciiTheme="majorEastAsia" w:hAnsiTheme="majorEastAsia" w:eastAsiaTheme="majorEastAsia"/>
          <w:b/>
          <w:sz w:val="36"/>
          <w:szCs w:val="36"/>
          <w:lang w:val="en-US" w:eastAsia="zh-CN"/>
        </w:rPr>
        <w:t>金融学</w:t>
      </w:r>
      <w:r>
        <w:rPr>
          <w:rFonts w:asciiTheme="majorEastAsia" w:hAnsiTheme="majorEastAsia" w:eastAsiaTheme="majorEastAsia"/>
          <w:b/>
          <w:sz w:val="36"/>
          <w:szCs w:val="36"/>
        </w:rPr>
        <w:t>高级课程研修班</w:t>
      </w:r>
    </w:p>
    <w:p w14:paraId="72341F15">
      <w:pPr>
        <w:pStyle w:val="5"/>
        <w:snapToGrid w:val="0"/>
        <w:spacing w:line="360" w:lineRule="auto"/>
        <w:ind w:left="2740" w:leftChars="100" w:hanging="2530" w:hangingChars="700"/>
        <w:contextualSpacing/>
        <w:jc w:val="center"/>
        <w:rPr>
          <w:rFonts w:asciiTheme="majorEastAsia" w:hAnsiTheme="majorEastAsia" w:eastAsiaTheme="majorEastAsia"/>
          <w:b/>
          <w:sz w:val="30"/>
          <w:szCs w:val="30"/>
        </w:rPr>
      </w:pPr>
      <w:r>
        <w:rPr>
          <w:rFonts w:asciiTheme="majorEastAsia" w:hAnsiTheme="majorEastAsia" w:eastAsiaTheme="majorEastAsia"/>
          <w:b/>
          <w:sz w:val="36"/>
          <w:szCs w:val="36"/>
        </w:rPr>
        <w:t>招生简章</w:t>
      </w:r>
    </w:p>
    <w:p w14:paraId="17D9C8B7">
      <w:pPr>
        <w:pStyle w:val="5"/>
        <w:snapToGrid w:val="0"/>
        <w:spacing w:line="360" w:lineRule="auto"/>
        <w:contextualSpacing/>
        <w:jc w:val="center"/>
        <w:rPr>
          <w:rFonts w:asciiTheme="minorEastAsia" w:hAnsiTheme="minorEastAsia" w:eastAsiaTheme="minorEastAsia"/>
          <w:color w:val="FF0000"/>
          <w:sz w:val="21"/>
          <w:szCs w:val="21"/>
        </w:rPr>
      </w:pPr>
      <w:r>
        <w:rPr>
          <w:rFonts w:hint="eastAsia" w:asciiTheme="minorEastAsia" w:hAnsiTheme="minorEastAsia" w:eastAsiaTheme="minorEastAsia"/>
          <w:color w:val="FF0000"/>
          <w:sz w:val="21"/>
          <w:szCs w:val="21"/>
        </w:rPr>
        <w:t>全国招生，设</w:t>
      </w:r>
      <w:r>
        <w:rPr>
          <w:rFonts w:asciiTheme="minorEastAsia" w:hAnsiTheme="minorEastAsia" w:eastAsiaTheme="minorEastAsia"/>
          <w:color w:val="FF0000"/>
          <w:sz w:val="21"/>
          <w:szCs w:val="21"/>
        </w:rPr>
        <w:t>网络教学</w:t>
      </w:r>
    </w:p>
    <w:p w14:paraId="339F12C3">
      <w:pPr>
        <w:pStyle w:val="5"/>
        <w:snapToGrid w:val="0"/>
        <w:spacing w:line="360" w:lineRule="auto"/>
        <w:contextualSpacing/>
        <w:rPr>
          <w:rFonts w:hint="default" w:asciiTheme="minorEastAsia" w:hAnsiTheme="minorEastAsia" w:eastAsiaTheme="minorEastAsia"/>
          <w:sz w:val="21"/>
          <w:szCs w:val="21"/>
          <w:lang w:val="en-US" w:eastAsia="zh-CN"/>
        </w:rPr>
      </w:pPr>
    </w:p>
    <w:p w14:paraId="02E6B02D">
      <w:pPr>
        <w:pStyle w:val="5"/>
        <w:numPr>
          <w:ilvl w:val="0"/>
          <w:numId w:val="1"/>
        </w:numPr>
        <w:snapToGrid w:val="0"/>
        <w:spacing w:line="360" w:lineRule="auto"/>
        <w:contextualSpacing/>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院校简介：</w:t>
      </w:r>
    </w:p>
    <w:p w14:paraId="487821E8">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江西财经大学是一所财政部、教育部、江西省人民政府共建，以经济、管理类学科为主，法、工、文、理、艺术、教育等学科协调发展的高等财经学府。江西财经大学研究生教育肇始于1985年，1998年获批博士学位授予权，2004年获批博士后科研流动站。经过三十多年的发展，已经形成了一个从硕士到博士后、从学术学位到专业学位、从全日制到在职等多层次的研究生教育体系。</w:t>
      </w:r>
    </w:p>
    <w:p w14:paraId="78E617A8">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学校现有经济学、管理学、法学、工学、文学、理学、艺术等学科门类；拥有应用经济学、理论经济学、管理科学与工程、工商管理、统计学、法学、马克思主义理论共7个博士后流动站；应用经济学、理论经济学、管理科学与工程、工商管理、统计学、法学、马克思主义理论共7个一级博士学位授权点，39个二级博士学位授权点，13个一级硕士学位授权点，70个二级硕士学位授权点，18个专业硕士学位授权点。</w:t>
      </w:r>
    </w:p>
    <w:p w14:paraId="12DABBA2">
      <w:pPr>
        <w:pStyle w:val="5"/>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val="0"/>
          <w:bCs w:val="0"/>
          <w:sz w:val="21"/>
          <w:szCs w:val="21"/>
          <w:lang w:val="en-US" w:eastAsia="zh-CN"/>
        </w:rPr>
      </w:pPr>
      <w:r>
        <w:rPr>
          <w:rFonts w:hint="eastAsia" w:asciiTheme="minorEastAsia" w:hAnsiTheme="minorEastAsia" w:eastAsiaTheme="minorEastAsia"/>
          <w:b w:val="0"/>
          <w:bCs w:val="0"/>
          <w:sz w:val="21"/>
          <w:szCs w:val="21"/>
          <w:lang w:val="en-US" w:eastAsia="zh-CN"/>
        </w:rPr>
        <w:t xml:space="preserve">    江西财经大学金融学院成立于2003年。学院拥有江西省唯一的金融学博士学位授权点，同时还拥有金融学硕士授权点和金融学、保险学两个专业硕士学位授权点。开设了金融学、金融工程、金融科技、保险学四个本科专业以及金融学（FRM）特色方向。金融学专业是江西省首批品牌专业，教育部首批第二类特色专业，金融学、保险学及金融工程专业分别获批国家一流专业建设点。学院设有金融系、金融科技系、金融工程系、风险管理与保险系四个教学单位。现招收金融学专业研修课程培训班学员，为社会各界提供优秀硕士研究生专业人才。</w:t>
      </w:r>
    </w:p>
    <w:p w14:paraId="7A043F81">
      <w:pPr>
        <w:pStyle w:val="5"/>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bCs/>
          <w:sz w:val="24"/>
          <w:szCs w:val="24"/>
          <w:lang w:val="en-US" w:eastAsia="zh-CN"/>
        </w:rPr>
      </w:pPr>
    </w:p>
    <w:p w14:paraId="4599653E">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培养目标：</w:t>
      </w:r>
    </w:p>
    <w:p w14:paraId="2ED6D36F">
      <w:pPr>
        <w:pStyle w:val="5"/>
        <w:widowControl/>
        <w:numPr>
          <w:ilvl w:val="0"/>
          <w:numId w:val="0"/>
        </w:numPr>
        <w:snapToGrid w:val="0"/>
        <w:spacing w:before="100" w:beforeAutospacing="1" w:after="100" w:afterAutospacing="1" w:line="360" w:lineRule="auto"/>
        <w:ind w:firstLine="420" w:firstLineChars="200"/>
        <w:contextualSpacing/>
        <w:jc w:val="left"/>
        <w:rPr>
          <w:rFonts w:hint="default" w:cs="宋体" w:asciiTheme="minorEastAsia" w:hAnsiTheme="minorEastAsia" w:eastAsiaTheme="minorEastAsia"/>
          <w:b w:val="0"/>
          <w:bCs w:val="0"/>
          <w:sz w:val="21"/>
          <w:szCs w:val="21"/>
          <w:lang w:val="en-US" w:eastAsia="zh-CN"/>
        </w:rPr>
      </w:pPr>
      <w:r>
        <w:rPr>
          <w:rFonts w:hint="eastAsia" w:cs="宋体" w:asciiTheme="minorEastAsia" w:hAnsiTheme="minorEastAsia" w:eastAsiaTheme="minorEastAsia"/>
          <w:b w:val="0"/>
          <w:bCs w:val="0"/>
          <w:sz w:val="21"/>
          <w:szCs w:val="21"/>
          <w:lang w:val="en-US" w:eastAsia="zh-CN"/>
        </w:rPr>
        <w:t>本专业</w:t>
      </w:r>
      <w:r>
        <w:rPr>
          <w:rFonts w:hint="default" w:cs="宋体" w:asciiTheme="minorEastAsia" w:hAnsiTheme="minorEastAsia" w:eastAsiaTheme="minorEastAsia"/>
          <w:b w:val="0"/>
          <w:bCs w:val="0"/>
          <w:sz w:val="21"/>
          <w:szCs w:val="21"/>
          <w:lang w:val="en-US" w:eastAsia="zh-CN"/>
        </w:rPr>
        <w:t>通过学习使得学员们具备较为扎实的金融专业知识，进一步提高学员的综合素质和管理素养，帮助学员更好地将金融理论与中国金融实践相结合，在本岗位工作中发挥突出作用；通过学习使具备条件的学员顺利毕业，为其未来职业发展奠定基础；同时为在读的职场学员提供一个相互学习与借鉴、扩大和共享社会资源的平台。学院紧扣经济金融全球化的大趋势，以培养适应中国金融业改革开放的人才为目标，努力提高在职人员的金融理论水平、经济知识水平及整体素质，造就一批适应国际金融市场快速发展的投融资高级管理人才和熟练掌握金融投资技巧的应用型高级专门人才。</w:t>
      </w:r>
    </w:p>
    <w:p w14:paraId="286BC3A2">
      <w:pPr>
        <w:pStyle w:val="5"/>
        <w:widowControl/>
        <w:numPr>
          <w:ilvl w:val="0"/>
          <w:numId w:val="0"/>
        </w:numPr>
        <w:snapToGrid w:val="0"/>
        <w:spacing w:before="100" w:beforeAutospacing="1" w:after="100" w:afterAutospacing="1" w:line="360" w:lineRule="auto"/>
        <w:contextualSpacing/>
        <w:jc w:val="left"/>
        <w:rPr>
          <w:rFonts w:hint="default" w:cs="宋体" w:asciiTheme="minorEastAsia" w:hAnsiTheme="minorEastAsia" w:eastAsiaTheme="minorEastAsia"/>
          <w:b w:val="0"/>
          <w:bCs w:val="0"/>
          <w:sz w:val="21"/>
          <w:szCs w:val="21"/>
          <w:lang w:val="en-US" w:eastAsia="zh-CN"/>
        </w:rPr>
      </w:pPr>
    </w:p>
    <w:p w14:paraId="19666955">
      <w:pPr>
        <w:pStyle w:val="5"/>
        <w:widowControl/>
        <w:numPr>
          <w:ilvl w:val="0"/>
          <w:numId w:val="0"/>
        </w:numPr>
        <w:snapToGrid w:val="0"/>
        <w:spacing w:before="100" w:beforeAutospacing="1" w:after="100" w:afterAutospacing="1" w:line="360" w:lineRule="auto"/>
        <w:ind w:firstLine="420" w:firstLineChars="200"/>
        <w:contextualSpacing/>
        <w:jc w:val="left"/>
        <w:rPr>
          <w:rFonts w:hint="default" w:cs="宋体" w:asciiTheme="minorEastAsia" w:hAnsiTheme="minorEastAsia" w:eastAsiaTheme="minorEastAsia"/>
          <w:b w:val="0"/>
          <w:bCs w:val="0"/>
          <w:sz w:val="21"/>
          <w:szCs w:val="21"/>
          <w:lang w:val="en-US" w:eastAsia="zh-CN"/>
        </w:rPr>
      </w:pPr>
    </w:p>
    <w:p w14:paraId="52E5C562">
      <w:pPr>
        <w:pStyle w:val="5"/>
        <w:numPr>
          <w:ilvl w:val="0"/>
          <w:numId w:val="1"/>
        </w:numPr>
        <w:snapToGrid w:val="0"/>
        <w:spacing w:line="360" w:lineRule="auto"/>
        <w:contextualSpacing/>
        <w:rPr>
          <w:rFonts w:ascii="Times New Roman" w:hAnsi="Times New Roman"/>
        </w:rPr>
      </w:pPr>
      <w:r>
        <w:rPr>
          <w:rFonts w:hint="eastAsia" w:asciiTheme="minorEastAsia" w:hAnsiTheme="minorEastAsia" w:eastAsiaTheme="minorEastAsia"/>
          <w:b/>
          <w:bCs/>
          <w:sz w:val="24"/>
          <w:szCs w:val="24"/>
          <w:lang w:val="en-US" w:eastAsia="zh-CN"/>
        </w:rPr>
        <w:t>培养优势：</w:t>
      </w:r>
    </w:p>
    <w:p w14:paraId="72788A1C">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免试入学</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大专以上即可报名，</w:t>
      </w:r>
      <w:r>
        <w:rPr>
          <w:rFonts w:hint="eastAsia" w:asciiTheme="minorEastAsia" w:hAnsiTheme="minorEastAsia" w:eastAsiaTheme="minorEastAsia" w:cstheme="minorEastAsia"/>
          <w:sz w:val="21"/>
          <w:szCs w:val="21"/>
        </w:rPr>
        <w:t>先学习再考试，有足够充分的准备和学习课程的时间；</w:t>
      </w:r>
    </w:p>
    <w:p w14:paraId="710E64F1">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学习方式灵活</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lang w:val="en-US" w:eastAsia="zh-CN"/>
        </w:rPr>
        <w:t>授课方式采用线上线下灵活教学方式，社会在职人员可以边学习边工作，灵活学习</w:t>
      </w:r>
      <w:r>
        <w:rPr>
          <w:rFonts w:hint="eastAsia" w:asciiTheme="minorEastAsia" w:hAnsiTheme="minorEastAsia" w:eastAsiaTheme="minorEastAsia" w:cstheme="minorEastAsia"/>
          <w:sz w:val="21"/>
          <w:szCs w:val="21"/>
        </w:rPr>
        <w:t>；</w:t>
      </w:r>
    </w:p>
    <w:p w14:paraId="6F36B0E2">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rPr>
        <w:t>师资队伍</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学校拥有结构合理、素质优良、可持续发展的师资队伍，国内外330余名著名学者、专家和企业家受聘为学校客座教授；</w:t>
      </w:r>
    </w:p>
    <w:p w14:paraId="787208F2">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【申硕机会多】</w:t>
      </w:r>
      <w:r>
        <w:rPr>
          <w:rFonts w:hint="eastAsia" w:asciiTheme="minorEastAsia" w:hAnsiTheme="minorEastAsia" w:eastAsiaTheme="minorEastAsia" w:cstheme="minorEastAsia"/>
          <w:b w:val="0"/>
          <w:bCs w:val="0"/>
          <w:sz w:val="21"/>
          <w:szCs w:val="21"/>
          <w:lang w:val="en-US" w:eastAsia="zh-CN"/>
        </w:rPr>
        <w:t>：完成课业安排，只要达到申硕条件者，可申请4年内每年参加同等学力申硕考试；</w:t>
      </w:r>
    </w:p>
    <w:p w14:paraId="1B5F47F9">
      <w:pPr>
        <w:pStyle w:val="5"/>
        <w:numPr>
          <w:ilvl w:val="0"/>
          <w:numId w:val="2"/>
        </w:numPr>
        <w:snapToGrid w:val="0"/>
        <w:spacing w:line="360" w:lineRule="auto"/>
        <w:ind w:firstLine="422" w:firstLineChars="200"/>
        <w:contextualSpacing/>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结交人脉</w:t>
      </w: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color w:val="000000" w:themeColor="text1"/>
          <w:sz w:val="21"/>
          <w:szCs w:val="21"/>
          <w:lang w:val="en-US" w:eastAsia="zh-CN"/>
          <w14:textFill>
            <w14:solidFill>
              <w14:schemeClr w14:val="tx1"/>
            </w14:solidFill>
          </w14:textFill>
        </w:rPr>
        <w:t>可享受与在校生同等的电子数据资源，获得校友人脉资源，结交高端人脉。</w:t>
      </w:r>
    </w:p>
    <w:p w14:paraId="62E76C32">
      <w:pPr>
        <w:pStyle w:val="5"/>
        <w:numPr>
          <w:ilvl w:val="0"/>
          <w:numId w:val="0"/>
        </w:numPr>
        <w:snapToGrid w:val="0"/>
        <w:spacing w:line="360" w:lineRule="auto"/>
        <w:contextualSpacing/>
        <w:rPr>
          <w:rFonts w:hint="eastAsia" w:asciiTheme="minorEastAsia" w:hAnsiTheme="minorEastAsia" w:eastAsiaTheme="minorEastAsia" w:cstheme="minorEastAsia"/>
          <w:b/>
          <w:bCs/>
          <w:sz w:val="21"/>
          <w:szCs w:val="21"/>
          <w:lang w:val="en-US" w:eastAsia="zh-CN"/>
        </w:rPr>
      </w:pPr>
    </w:p>
    <w:p w14:paraId="312CBD4E">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课程设置：</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3402"/>
        <w:gridCol w:w="3311"/>
      </w:tblGrid>
      <w:tr w14:paraId="584E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522" w:type="dxa"/>
            <w:gridSpan w:val="3"/>
          </w:tcPr>
          <w:p w14:paraId="50075CA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b/>
                <w:sz w:val="21"/>
                <w:szCs w:val="21"/>
              </w:rPr>
            </w:pPr>
            <w:r>
              <w:rPr>
                <w:rFonts w:hint="eastAsia" w:asciiTheme="minorEastAsia" w:hAnsiTheme="minorEastAsia" w:cstheme="minorEastAsia"/>
                <w:b/>
                <w:sz w:val="21"/>
                <w:szCs w:val="21"/>
                <w:lang w:val="en-US" w:eastAsia="zh-CN"/>
              </w:rPr>
              <w:t>金融学</w:t>
            </w:r>
            <w:r>
              <w:rPr>
                <w:rFonts w:hint="eastAsia" w:asciiTheme="minorEastAsia" w:hAnsiTheme="minorEastAsia" w:eastAsiaTheme="minorEastAsia" w:cstheme="minorEastAsia"/>
                <w:b/>
                <w:sz w:val="21"/>
                <w:szCs w:val="21"/>
              </w:rPr>
              <w:t>专业课程</w:t>
            </w:r>
          </w:p>
        </w:tc>
      </w:tr>
      <w:tr w14:paraId="1AB7D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14E9D983">
            <w:pPr>
              <w:keepNext w:val="0"/>
              <w:keepLines w:val="0"/>
              <w:pageBreakBefore w:val="0"/>
              <w:kinsoku/>
              <w:wordWrap/>
              <w:overflowPunct/>
              <w:topLinePunct w:val="0"/>
              <w:autoSpaceDE/>
              <w:autoSpaceDN/>
              <w:bidi w:val="0"/>
              <w:adjustRightInd/>
              <w:spacing w:beforeAutospacing="0" w:afterAutospacing="0" w:line="360" w:lineRule="auto"/>
              <w:ind w:firstLine="422" w:firstLineChars="200"/>
              <w:contextualSpacing/>
              <w:jc w:val="both"/>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b/>
                <w:bCs/>
                <w:sz w:val="21"/>
                <w:szCs w:val="21"/>
                <w:lang w:val="en-US" w:eastAsia="zh-CN"/>
              </w:rPr>
              <w:t>学位课</w:t>
            </w:r>
          </w:p>
        </w:tc>
        <w:tc>
          <w:tcPr>
            <w:tcW w:w="3402" w:type="dxa"/>
          </w:tcPr>
          <w:p w14:paraId="57A690C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社会主义理论与实践</w:t>
            </w:r>
          </w:p>
        </w:tc>
        <w:tc>
          <w:tcPr>
            <w:tcW w:w="3311" w:type="dxa"/>
          </w:tcPr>
          <w:p w14:paraId="6DEDB2CE">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英语</w:t>
            </w:r>
          </w:p>
        </w:tc>
      </w:tr>
      <w:tr w14:paraId="1EBF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44934330">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26167B1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当代管理理论</w:t>
            </w:r>
          </w:p>
        </w:tc>
        <w:tc>
          <w:tcPr>
            <w:tcW w:w="3311" w:type="dxa"/>
          </w:tcPr>
          <w:p w14:paraId="7DBFD2A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中西方经济学</w:t>
            </w:r>
          </w:p>
        </w:tc>
      </w:tr>
      <w:tr w14:paraId="51EA4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420D24EE">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必修课</w:t>
            </w:r>
          </w:p>
        </w:tc>
        <w:tc>
          <w:tcPr>
            <w:tcW w:w="3402" w:type="dxa"/>
          </w:tcPr>
          <w:p w14:paraId="61AD50C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微观经济学</w:t>
            </w:r>
          </w:p>
        </w:tc>
        <w:tc>
          <w:tcPr>
            <w:tcW w:w="3311" w:type="dxa"/>
          </w:tcPr>
          <w:p w14:paraId="64546B10">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宏观经济学</w:t>
            </w:r>
          </w:p>
        </w:tc>
      </w:tr>
      <w:tr w14:paraId="46CA4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70555935">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5A827F1B">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货币银行学</w:t>
            </w:r>
          </w:p>
        </w:tc>
        <w:tc>
          <w:tcPr>
            <w:tcW w:w="3311" w:type="dxa"/>
          </w:tcPr>
          <w:p w14:paraId="25CBD79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国际经济学</w:t>
            </w:r>
          </w:p>
        </w:tc>
      </w:tr>
      <w:tr w14:paraId="5E130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3C7082B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2F0C41A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财政学</w:t>
            </w:r>
          </w:p>
        </w:tc>
        <w:tc>
          <w:tcPr>
            <w:tcW w:w="3311" w:type="dxa"/>
          </w:tcPr>
          <w:p w14:paraId="6AB14E1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eastAsia" w:asciiTheme="minorEastAsia" w:hAnsiTheme="minorEastAsia" w:cstheme="minorEastAsia"/>
                <w:sz w:val="21"/>
                <w:szCs w:val="21"/>
                <w:lang w:val="en-US" w:eastAsia="zh-CN"/>
              </w:rPr>
              <w:t>国际金融</w:t>
            </w:r>
          </w:p>
        </w:tc>
      </w:tr>
      <w:tr w14:paraId="5E4A4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restart"/>
            <w:vAlign w:val="center"/>
          </w:tcPr>
          <w:p w14:paraId="37F0108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b/>
                <w:bCs/>
                <w:sz w:val="21"/>
                <w:szCs w:val="21"/>
                <w:lang w:val="en-US" w:eastAsia="zh-CN"/>
              </w:rPr>
            </w:pPr>
          </w:p>
          <w:p w14:paraId="696CAA8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b/>
                <w:bCs/>
                <w:sz w:val="21"/>
                <w:szCs w:val="21"/>
                <w:lang w:val="en-US" w:eastAsia="zh-CN"/>
              </w:rPr>
            </w:pPr>
          </w:p>
          <w:p w14:paraId="7E3997E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b/>
                <w:bCs/>
                <w:sz w:val="21"/>
                <w:szCs w:val="21"/>
                <w:lang w:val="en-US" w:eastAsia="zh-CN"/>
              </w:rPr>
            </w:pPr>
          </w:p>
          <w:p w14:paraId="38977E8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b/>
                <w:bCs/>
                <w:sz w:val="21"/>
                <w:szCs w:val="21"/>
                <w:lang w:val="en-US" w:eastAsia="zh-CN"/>
              </w:rPr>
            </w:pPr>
          </w:p>
          <w:p w14:paraId="7F6D109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eastAsia" w:asciiTheme="minorEastAsia" w:hAnsiTheme="minorEastAsia" w:cstheme="minorEastAsia"/>
                <w:b/>
                <w:bCs/>
                <w:sz w:val="21"/>
                <w:szCs w:val="21"/>
                <w:lang w:val="en-US" w:eastAsia="zh-CN"/>
              </w:rPr>
              <w:t>选修课</w:t>
            </w:r>
          </w:p>
        </w:tc>
        <w:tc>
          <w:tcPr>
            <w:tcW w:w="3402" w:type="dxa"/>
          </w:tcPr>
          <w:p w14:paraId="0A374B1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lang w:val="en-US" w:eastAsia="zh-CN"/>
              </w:rPr>
              <w:t>资本市场理论</w:t>
            </w:r>
          </w:p>
        </w:tc>
        <w:tc>
          <w:tcPr>
            <w:tcW w:w="3311" w:type="dxa"/>
          </w:tcPr>
          <w:p w14:paraId="179CE1DF">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lang w:val="en-US" w:eastAsia="zh-CN"/>
              </w:rPr>
              <w:t>金融工程</w:t>
            </w:r>
          </w:p>
        </w:tc>
      </w:tr>
      <w:tr w14:paraId="1D73D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1F029AD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4CE78DD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lang w:val="en-US" w:eastAsia="zh-CN"/>
              </w:rPr>
              <w:t>公司金融</w:t>
            </w:r>
          </w:p>
        </w:tc>
        <w:tc>
          <w:tcPr>
            <w:tcW w:w="3311" w:type="dxa"/>
          </w:tcPr>
          <w:p w14:paraId="364F881F">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eastAsiaTheme="minorEastAsia" w:cstheme="minorEastAsia"/>
                <w:sz w:val="21"/>
                <w:szCs w:val="21"/>
                <w:lang w:val="en-US" w:eastAsia="zh-CN"/>
              </w:rPr>
            </w:pPr>
            <w:r>
              <w:rPr>
                <w:rFonts w:hint="default"/>
                <w:lang w:val="en-US" w:eastAsia="zh-CN"/>
              </w:rPr>
              <w:t>金融风险管理</w:t>
            </w:r>
          </w:p>
        </w:tc>
      </w:tr>
      <w:tr w14:paraId="49B5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5681F89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160D0F2D">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default"/>
                <w:lang w:val="en-US" w:eastAsia="zh-CN"/>
              </w:rPr>
              <w:t>金融计量学</w:t>
            </w:r>
          </w:p>
        </w:tc>
        <w:tc>
          <w:tcPr>
            <w:tcW w:w="3311" w:type="dxa"/>
          </w:tcPr>
          <w:p w14:paraId="4CBAD69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default"/>
                <w:lang w:val="en-US" w:eastAsia="zh-CN"/>
              </w:rPr>
              <w:t>投资银行与IPO</w:t>
            </w:r>
          </w:p>
        </w:tc>
      </w:tr>
      <w:tr w14:paraId="40F53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2A70A76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4541F71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r>
              <w:rPr>
                <w:rFonts w:hint="default"/>
                <w:lang w:val="en-US" w:eastAsia="zh-CN"/>
              </w:rPr>
              <w:t>财务战略与财务报表分析</w:t>
            </w:r>
          </w:p>
        </w:tc>
        <w:tc>
          <w:tcPr>
            <w:tcW w:w="3311" w:type="dxa"/>
          </w:tcPr>
          <w:p w14:paraId="7346A94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asciiTheme="minorEastAsia" w:hAnsiTheme="minorEastAsia" w:cstheme="minorEastAsia"/>
                <w:sz w:val="21"/>
                <w:szCs w:val="21"/>
                <w:lang w:val="en-US" w:eastAsia="zh-CN"/>
              </w:rPr>
            </w:pPr>
            <w:r>
              <w:rPr>
                <w:rFonts w:hint="default"/>
                <w:lang w:val="en-US" w:eastAsia="zh-CN"/>
              </w:rPr>
              <w:t>证券与基金投资策略</w:t>
            </w:r>
          </w:p>
        </w:tc>
      </w:tr>
      <w:tr w14:paraId="67B9D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02AFF6C3">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7FAF3F9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资产证券化理论与案例</w:t>
            </w:r>
          </w:p>
        </w:tc>
        <w:tc>
          <w:tcPr>
            <w:tcW w:w="3311" w:type="dxa"/>
          </w:tcPr>
          <w:p w14:paraId="31188F88">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金融科技与金融创新</w:t>
            </w:r>
          </w:p>
        </w:tc>
      </w:tr>
      <w:tr w14:paraId="6F8E1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39C1C01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081C849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商业银行管理</w:t>
            </w:r>
          </w:p>
        </w:tc>
        <w:tc>
          <w:tcPr>
            <w:tcW w:w="3311" w:type="dxa"/>
          </w:tcPr>
          <w:p w14:paraId="53F90AA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国际金融与外汇市场</w:t>
            </w:r>
          </w:p>
        </w:tc>
      </w:tr>
      <w:tr w14:paraId="76001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123D3CF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374936E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碳交易与碳金融</w:t>
            </w:r>
          </w:p>
        </w:tc>
        <w:tc>
          <w:tcPr>
            <w:tcW w:w="3311" w:type="dxa"/>
          </w:tcPr>
          <w:p w14:paraId="7D9695C9">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绿色金融</w:t>
            </w:r>
          </w:p>
        </w:tc>
      </w:tr>
      <w:tr w14:paraId="7F763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5951DDC2">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2D20F16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ESG与绿色投资</w:t>
            </w:r>
          </w:p>
        </w:tc>
        <w:tc>
          <w:tcPr>
            <w:tcW w:w="3311" w:type="dxa"/>
          </w:tcPr>
          <w:p w14:paraId="195F3F74">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财富管理</w:t>
            </w:r>
          </w:p>
        </w:tc>
      </w:tr>
      <w:tr w14:paraId="7D57E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2136A457">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472FD1B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家庭理财</w:t>
            </w:r>
          </w:p>
        </w:tc>
        <w:tc>
          <w:tcPr>
            <w:tcW w:w="3311" w:type="dxa"/>
          </w:tcPr>
          <w:p w14:paraId="1DC129A1">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另类投资</w:t>
            </w:r>
          </w:p>
        </w:tc>
      </w:tr>
      <w:tr w14:paraId="28CE0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809" w:type="dxa"/>
            <w:vMerge w:val="continue"/>
          </w:tcPr>
          <w:p w14:paraId="1C956126">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eastAsia" w:asciiTheme="minorEastAsia" w:hAnsiTheme="minorEastAsia" w:cstheme="minorEastAsia"/>
                <w:sz w:val="21"/>
                <w:szCs w:val="21"/>
                <w:lang w:val="en-US" w:eastAsia="zh-CN"/>
              </w:rPr>
            </w:pPr>
          </w:p>
        </w:tc>
        <w:tc>
          <w:tcPr>
            <w:tcW w:w="3402" w:type="dxa"/>
          </w:tcPr>
          <w:p w14:paraId="69CC136C">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保险学专业知识相关讲座</w:t>
            </w:r>
          </w:p>
        </w:tc>
        <w:tc>
          <w:tcPr>
            <w:tcW w:w="3311" w:type="dxa"/>
          </w:tcPr>
          <w:p w14:paraId="0425048A">
            <w:pPr>
              <w:keepNext w:val="0"/>
              <w:keepLines w:val="0"/>
              <w:pageBreakBefore w:val="0"/>
              <w:kinsoku/>
              <w:wordWrap/>
              <w:overflowPunct/>
              <w:topLinePunct w:val="0"/>
              <w:autoSpaceDE/>
              <w:autoSpaceDN/>
              <w:bidi w:val="0"/>
              <w:adjustRightInd/>
              <w:spacing w:beforeAutospacing="0" w:afterAutospacing="0" w:line="360" w:lineRule="auto"/>
              <w:contextualSpacing/>
              <w:jc w:val="center"/>
              <w:textAlignment w:val="auto"/>
              <w:rPr>
                <w:rFonts w:hint="default"/>
                <w:lang w:val="en-US" w:eastAsia="zh-CN"/>
              </w:rPr>
            </w:pPr>
            <w:r>
              <w:rPr>
                <w:rFonts w:hint="default"/>
                <w:lang w:val="en-US" w:eastAsia="zh-CN"/>
              </w:rPr>
              <w:t>金融研究前沿专题系列讲</w:t>
            </w:r>
          </w:p>
        </w:tc>
      </w:tr>
    </w:tbl>
    <w:p w14:paraId="2DF1D6BE">
      <w:pPr>
        <w:pStyle w:val="5"/>
        <w:widowControl/>
        <w:numPr>
          <w:ilvl w:val="0"/>
          <w:numId w:val="0"/>
        </w:numPr>
        <w:snapToGrid w:val="0"/>
        <w:spacing w:before="100" w:beforeAutospacing="1" w:after="100" w:afterAutospacing="1" w:line="360" w:lineRule="auto"/>
        <w:contextualSpacing/>
        <w:jc w:val="left"/>
        <w:rPr>
          <w:rFonts w:hint="eastAsia" w:asciiTheme="minorEastAsia" w:hAnsiTheme="minorEastAsia" w:eastAsiaTheme="minorEastAsia"/>
          <w:b/>
          <w:bCs/>
          <w:sz w:val="24"/>
          <w:szCs w:val="24"/>
          <w:lang w:val="en-US" w:eastAsia="zh-CN"/>
        </w:rPr>
      </w:pPr>
    </w:p>
    <w:p w14:paraId="425EB3B6">
      <w:pPr>
        <w:pStyle w:val="5"/>
        <w:keepNext w:val="0"/>
        <w:keepLines w:val="0"/>
        <w:pageBreakBefore w:val="0"/>
        <w:kinsoku/>
        <w:wordWrap/>
        <w:overflowPunct/>
        <w:topLinePunct w:val="0"/>
        <w:autoSpaceDE/>
        <w:autoSpaceDN/>
        <w:bidi w:val="0"/>
        <w:adjustRightInd/>
        <w:snapToGrid w:val="0"/>
        <w:spacing w:beforeAutospacing="0" w:afterAutospacing="0" w:line="360" w:lineRule="auto"/>
        <w:ind w:firstLine="2730" w:firstLineChars="1300"/>
        <w:contextualSpacing/>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注：部分课程教学参照</w:t>
      </w:r>
      <w:r>
        <w:rPr>
          <w:rFonts w:hint="eastAsia" w:asciiTheme="minorEastAsia" w:hAnsiTheme="minorEastAsia" w:eastAsiaTheme="minorEastAsia" w:cstheme="minorEastAsia"/>
          <w:sz w:val="21"/>
          <w:szCs w:val="21"/>
          <w:lang w:val="en-US" w:eastAsia="zh-CN"/>
        </w:rPr>
        <w:t>实际</w:t>
      </w:r>
    </w:p>
    <w:p w14:paraId="605BDDB0">
      <w:pPr>
        <w:pStyle w:val="5"/>
        <w:keepNext w:val="0"/>
        <w:keepLines w:val="0"/>
        <w:pageBreakBefore w:val="0"/>
        <w:kinsoku/>
        <w:wordWrap/>
        <w:overflowPunct/>
        <w:topLinePunct w:val="0"/>
        <w:autoSpaceDE/>
        <w:autoSpaceDN/>
        <w:bidi w:val="0"/>
        <w:adjustRightInd/>
        <w:snapToGrid w:val="0"/>
        <w:spacing w:beforeAutospacing="0" w:afterAutospacing="0" w:line="360" w:lineRule="auto"/>
        <w:ind w:firstLine="2730" w:firstLineChars="1300"/>
        <w:contextualSpacing/>
        <w:textAlignment w:val="auto"/>
        <w:rPr>
          <w:rFonts w:hint="default" w:asciiTheme="minorEastAsia" w:hAnsiTheme="minorEastAsia" w:eastAsiaTheme="minorEastAsia" w:cstheme="minorEastAsia"/>
          <w:sz w:val="21"/>
          <w:szCs w:val="21"/>
          <w:lang w:val="en-US" w:eastAsia="zh-CN"/>
        </w:rPr>
      </w:pPr>
    </w:p>
    <w:p w14:paraId="585C9B47">
      <w:pPr>
        <w:pStyle w:val="5"/>
        <w:numPr>
          <w:ilvl w:val="0"/>
          <w:numId w:val="1"/>
        </w:numPr>
        <w:snapToGrid w:val="0"/>
        <w:spacing w:line="360" w:lineRule="auto"/>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eastAsiaTheme="minorEastAsia"/>
          <w:b/>
          <w:bCs/>
          <w:sz w:val="24"/>
          <w:szCs w:val="24"/>
          <w:lang w:val="en-US" w:eastAsia="zh-CN"/>
        </w:rPr>
        <w:t>报名条件：</w:t>
      </w:r>
    </w:p>
    <w:p w14:paraId="2C5BD418">
      <w:pPr>
        <w:pStyle w:val="5"/>
        <w:numPr>
          <w:ilvl w:val="0"/>
          <w:numId w:val="3"/>
        </w:numPr>
        <w:snapToGrid w:val="0"/>
        <w:spacing w:line="360" w:lineRule="auto"/>
        <w:ind w:firstLine="420" w:firstLineChars="200"/>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大专以上学历者即可报名；</w:t>
      </w:r>
    </w:p>
    <w:p w14:paraId="6451DAF7">
      <w:pPr>
        <w:pStyle w:val="5"/>
        <w:numPr>
          <w:ilvl w:val="0"/>
          <w:numId w:val="0"/>
        </w:numPr>
        <w:snapToGrid w:val="0"/>
        <w:spacing w:line="360" w:lineRule="auto"/>
        <w:ind w:firstLine="420" w:firstLineChars="200"/>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cstheme="minorEastAsia"/>
          <w:kern w:val="0"/>
          <w:sz w:val="21"/>
          <w:szCs w:val="21"/>
          <w:lang w:val="en-US" w:eastAsia="zh-CN" w:bidi="ar-SA"/>
        </w:rPr>
        <w:t>2、大学本科毕业并获得学士学位后工作3年以上</w:t>
      </w:r>
      <w:r>
        <w:rPr>
          <w:rFonts w:hint="eastAsia" w:asciiTheme="minorEastAsia" w:hAnsiTheme="minorEastAsia" w:cstheme="minorEastAsia"/>
          <w:kern w:val="0"/>
          <w:sz w:val="21"/>
          <w:szCs w:val="21"/>
          <w:lang w:val="en-US" w:eastAsia="zh-CN" w:bidi="ar-SA"/>
        </w:rPr>
        <w:t>，</w:t>
      </w:r>
      <w:r>
        <w:rPr>
          <w:rFonts w:hint="eastAsia" w:asciiTheme="minorEastAsia" w:hAnsiTheme="minorEastAsia" w:eastAsiaTheme="minorEastAsia" w:cstheme="minorEastAsia"/>
          <w:kern w:val="0"/>
          <w:sz w:val="21"/>
          <w:szCs w:val="21"/>
          <w:lang w:val="en-US" w:eastAsia="zh-CN" w:bidi="ar-SA"/>
        </w:rPr>
        <w:t>虽无学士学位但已获得硕士或博士学位者</w:t>
      </w:r>
      <w:r>
        <w:rPr>
          <w:rFonts w:hint="eastAsia" w:asciiTheme="minorEastAsia" w:hAnsiTheme="minorEastAsia" w:cstheme="minorEastAsia"/>
          <w:kern w:val="0"/>
          <w:sz w:val="21"/>
          <w:szCs w:val="21"/>
          <w:lang w:val="en-US" w:eastAsia="zh-CN" w:bidi="ar-SA"/>
        </w:rPr>
        <w:t>；</w:t>
      </w:r>
    </w:p>
    <w:p w14:paraId="19C65F5F">
      <w:pPr>
        <w:pStyle w:val="5"/>
        <w:numPr>
          <w:ilvl w:val="0"/>
          <w:numId w:val="0"/>
        </w:numPr>
        <w:snapToGrid w:val="0"/>
        <w:spacing w:line="360" w:lineRule="auto"/>
        <w:ind w:firstLine="420" w:firstLineChars="200"/>
        <w:contextualSpacing/>
        <w:rPr>
          <w:rFonts w:hint="eastAsia" w:asciiTheme="minorEastAsia" w:hAnsi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3、</w:t>
      </w:r>
      <w:r>
        <w:rPr>
          <w:rFonts w:hint="eastAsia" w:asciiTheme="minorEastAsia" w:hAnsiTheme="minorEastAsia" w:eastAsiaTheme="minorEastAsia" w:cstheme="minorEastAsia"/>
          <w:kern w:val="0"/>
          <w:sz w:val="21"/>
          <w:szCs w:val="21"/>
          <w:lang w:val="en-US" w:eastAsia="zh-CN" w:bidi="ar-SA"/>
        </w:rPr>
        <w:t>通过教育部留学服务中心认证的国（境）外学士、硕士或博士学位获得者</w:t>
      </w:r>
      <w:r>
        <w:rPr>
          <w:rFonts w:hint="eastAsia" w:asciiTheme="minorEastAsia" w:hAnsiTheme="minorEastAsia" w:cstheme="minorEastAsia"/>
          <w:kern w:val="0"/>
          <w:sz w:val="21"/>
          <w:szCs w:val="21"/>
          <w:lang w:val="en-US" w:eastAsia="zh-CN" w:bidi="ar-SA"/>
        </w:rPr>
        <w:t>。</w:t>
      </w:r>
    </w:p>
    <w:p w14:paraId="6AE4CF55">
      <w:pPr>
        <w:pStyle w:val="5"/>
        <w:numPr>
          <w:ilvl w:val="0"/>
          <w:numId w:val="0"/>
        </w:numPr>
        <w:snapToGrid w:val="0"/>
        <w:spacing w:line="360" w:lineRule="auto"/>
        <w:contextualSpacing/>
        <w:rPr>
          <w:rFonts w:hint="default" w:asciiTheme="minorEastAsia" w:hAnsiTheme="minorEastAsia" w:cstheme="minorEastAsia"/>
          <w:kern w:val="0"/>
          <w:sz w:val="21"/>
          <w:szCs w:val="21"/>
          <w:lang w:val="en-US" w:eastAsia="zh-CN" w:bidi="ar-SA"/>
        </w:rPr>
      </w:pPr>
    </w:p>
    <w:p w14:paraId="1311488B">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报名材料：</w:t>
      </w:r>
    </w:p>
    <w:p w14:paraId="4866A2E9">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1、本人持二代居民身份证原件及复印件；</w:t>
      </w:r>
    </w:p>
    <w:p w14:paraId="5019D4EA">
      <w:pPr>
        <w:pStyle w:val="5"/>
        <w:widowControl/>
        <w:numPr>
          <w:ilvl w:val="0"/>
          <w:numId w:val="0"/>
        </w:numPr>
        <w:snapToGrid w:val="0"/>
        <w:spacing w:before="100" w:beforeAutospacing="1" w:after="100" w:afterAutospacing="1" w:line="360" w:lineRule="auto"/>
        <w:ind w:firstLine="420" w:firstLineChars="200"/>
        <w:contextualSpacing/>
        <w:jc w:val="left"/>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2、本人学历和学位证书、毕业证书原件及复印件；</w:t>
      </w:r>
    </w:p>
    <w:p w14:paraId="6B224C80">
      <w:pPr>
        <w:pStyle w:val="5"/>
        <w:widowControl/>
        <w:numPr>
          <w:ilvl w:val="0"/>
          <w:numId w:val="0"/>
        </w:numPr>
        <w:snapToGrid w:val="0"/>
        <w:spacing w:before="100" w:beforeAutospacing="1" w:after="100" w:afterAutospacing="1" w:line="360" w:lineRule="auto"/>
        <w:ind w:firstLine="420" w:firstLineChars="200"/>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3、近期2张蓝底一寸照片2张蓝底二寸照片；</w:t>
      </w:r>
    </w:p>
    <w:p w14:paraId="7C4F85F4">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5A4640FF">
      <w:pPr>
        <w:pStyle w:val="5"/>
        <w:numPr>
          <w:ilvl w:val="0"/>
          <w:numId w:val="1"/>
        </w:numPr>
        <w:snapToGrid w:val="0"/>
        <w:spacing w:line="360" w:lineRule="auto"/>
        <w:contextualSpacing/>
        <w:rPr>
          <w:rFonts w:hint="default" w:asciiTheme="minorEastAsia" w:hAnsiTheme="minorEastAsia" w:eastAsiaTheme="minorEastAsia"/>
          <w:b/>
          <w:bCs/>
          <w:sz w:val="24"/>
          <w:szCs w:val="24"/>
          <w:lang w:val="en-US" w:eastAsia="zh-CN"/>
        </w:rPr>
      </w:pPr>
      <w:r>
        <w:rPr>
          <w:rFonts w:hint="eastAsia" w:asciiTheme="minorEastAsia" w:hAnsiTheme="minorEastAsia" w:eastAsiaTheme="minorEastAsia"/>
          <w:b/>
          <w:bCs/>
          <w:sz w:val="24"/>
          <w:szCs w:val="24"/>
          <w:lang w:val="en-US" w:eastAsia="zh-CN"/>
        </w:rPr>
        <w:t>培养方式和学制：</w:t>
      </w:r>
    </w:p>
    <w:p w14:paraId="3754CB50">
      <w:pPr>
        <w:pStyle w:val="5"/>
        <w:widowControl/>
        <w:numPr>
          <w:ilvl w:val="0"/>
          <w:numId w:val="0"/>
        </w:numPr>
        <w:snapToGrid w:val="0"/>
        <w:spacing w:before="100" w:beforeAutospacing="1" w:after="100" w:afterAutospacing="1" w:line="360" w:lineRule="auto"/>
        <w:ind w:firstLine="481"/>
        <w:contextualSpacing/>
        <w:jc w:val="left"/>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教学方式：每月集中双休日采用线上/线下授课，</w:t>
      </w:r>
      <w:r>
        <w:rPr>
          <w:rFonts w:hint="eastAsia" w:ascii="仿宋" w:hAnsi="仿宋" w:cs="仿宋"/>
          <w:b w:val="0"/>
          <w:bCs w:val="0"/>
          <w:color w:val="000000"/>
          <w:spacing w:val="1"/>
          <w:sz w:val="21"/>
          <w:szCs w:val="21"/>
          <w:lang w:val="en-US" w:eastAsia="zh-CN"/>
        </w:rPr>
        <w:t>（授课采取线上为主的方式教学）</w:t>
      </w:r>
      <w:r>
        <w:rPr>
          <w:rFonts w:hint="eastAsia" w:asciiTheme="minorEastAsia" w:hAnsiTheme="minorEastAsia" w:eastAsiaTheme="minorEastAsia" w:cstheme="minorEastAsia"/>
          <w:sz w:val="21"/>
          <w:szCs w:val="21"/>
          <w:lang w:val="en-US" w:eastAsia="zh-CN"/>
        </w:rPr>
        <w:t>；</w:t>
      </w:r>
    </w:p>
    <w:p w14:paraId="7FE7CB00">
      <w:pPr>
        <w:pStyle w:val="5"/>
        <w:widowControl/>
        <w:numPr>
          <w:ilvl w:val="0"/>
          <w:numId w:val="0"/>
        </w:numPr>
        <w:snapToGrid w:val="0"/>
        <w:spacing w:before="100" w:beforeAutospacing="1" w:after="100" w:afterAutospacing="1" w:line="360" w:lineRule="auto"/>
        <w:ind w:firstLine="481"/>
        <w:contextualSpacing/>
        <w:jc w:val="left"/>
        <w:rPr>
          <w:rFonts w:hint="eastAsia" w:asciiTheme="minorEastAsia" w:hAnsiTheme="minorEastAsia" w:eastAsiaTheme="minorEastAsia"/>
          <w:b/>
          <w:bCs/>
          <w:sz w:val="24"/>
          <w:szCs w:val="24"/>
          <w:lang w:val="en-US" w:eastAsia="zh-CN"/>
        </w:rPr>
      </w:pPr>
      <w:r>
        <w:rPr>
          <w:rFonts w:hint="eastAsia" w:asciiTheme="minorEastAsia" w:hAnsiTheme="minorEastAsia" w:eastAsiaTheme="minorEastAsia" w:cstheme="minorEastAsia"/>
          <w:sz w:val="21"/>
          <w:szCs w:val="21"/>
          <w:lang w:val="en-US" w:eastAsia="zh-CN"/>
        </w:rPr>
        <w:t xml:space="preserve">学制：1年    </w:t>
      </w:r>
    </w:p>
    <w:p w14:paraId="4ED3668A">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32034096">
      <w:pPr>
        <w:pStyle w:val="5"/>
        <w:numPr>
          <w:ilvl w:val="0"/>
          <w:numId w:val="1"/>
        </w:numPr>
        <w:snapToGrid w:val="0"/>
        <w:spacing w:line="360" w:lineRule="auto"/>
        <w:contextualSpacing/>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b/>
          <w:bCs/>
          <w:sz w:val="24"/>
          <w:szCs w:val="24"/>
          <w:lang w:val="en-US" w:eastAsia="zh-CN"/>
        </w:rPr>
        <w:t>获取证书：</w:t>
      </w:r>
    </w:p>
    <w:p w14:paraId="0C7D7332">
      <w:pPr>
        <w:pStyle w:val="5"/>
        <w:numPr>
          <w:ilvl w:val="0"/>
          <w:numId w:val="4"/>
        </w:numPr>
        <w:snapToGrid w:val="0"/>
        <w:spacing w:line="360" w:lineRule="auto"/>
        <w:ind w:firstLine="420" w:firstLineChars="200"/>
        <w:contextualSpacing/>
        <w:rPr>
          <w:rFonts w:hint="eastAsia" w:asciiTheme="minorEastAsia" w:hAnsiTheme="minorEastAsia" w:eastAsiaTheme="minorEastAsia" w:cstheme="minorEastAsia"/>
          <w:kern w:val="0"/>
          <w:sz w:val="21"/>
          <w:szCs w:val="21"/>
          <w:lang w:val="en-US" w:eastAsia="zh-CN" w:bidi="ar-SA"/>
        </w:rPr>
      </w:pPr>
      <w:r>
        <w:rPr>
          <w:rFonts w:hint="eastAsia" w:asciiTheme="minorEastAsia" w:hAnsiTheme="minorEastAsia" w:eastAsiaTheme="minorEastAsia" w:cstheme="minorEastAsia"/>
          <w:kern w:val="0"/>
          <w:sz w:val="21"/>
          <w:szCs w:val="21"/>
          <w:lang w:val="en-US" w:eastAsia="zh-CN" w:bidi="ar-SA"/>
        </w:rPr>
        <w:t>学员通过所报专业硕士研究生所有必修课程和选修课程考试，修满学分成绩合格，课程学习结束时发给江西财经大学硕士研究生课程班结业证书。</w:t>
      </w:r>
    </w:p>
    <w:p w14:paraId="1D8662D7">
      <w:pPr>
        <w:pStyle w:val="5"/>
        <w:numPr>
          <w:ilvl w:val="0"/>
          <w:numId w:val="0"/>
        </w:numPr>
        <w:snapToGrid w:val="0"/>
        <w:spacing w:line="360" w:lineRule="auto"/>
        <w:ind w:firstLine="420" w:firstLineChars="200"/>
        <w:contextualSpacing/>
        <w:rPr>
          <w:rFonts w:hint="default" w:asciiTheme="minorEastAsia" w:hAnsiTheme="minorEastAsia" w:eastAsiaTheme="minorEastAsia" w:cstheme="minorEastAsia"/>
          <w:kern w:val="0"/>
          <w:sz w:val="21"/>
          <w:szCs w:val="21"/>
          <w:lang w:val="en-US" w:eastAsia="zh-CN" w:bidi="ar-SA"/>
        </w:rPr>
      </w:pPr>
      <w:r>
        <w:rPr>
          <w:rFonts w:hint="eastAsia" w:asciiTheme="minorEastAsia" w:hAnsiTheme="minorEastAsia" w:cstheme="minorEastAsia"/>
          <w:kern w:val="0"/>
          <w:sz w:val="21"/>
          <w:szCs w:val="21"/>
          <w:lang w:val="en-US" w:eastAsia="zh-CN" w:bidi="ar-SA"/>
        </w:rPr>
        <w:t>2、完成所有课程学习并且考核合格这，满足同等学力申请硕士学位条件学员，可参加全国统一考试，成绩合格达标者可进入学位论文写作阶段，论文通过评审、答辩，并经由我校学位评定委员会批准，可授予江西财经大学金融学专业经济学硕士学位。</w:t>
      </w:r>
    </w:p>
    <w:p w14:paraId="3825248D">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131AD4CE">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15E0B790">
      <w:pPr>
        <w:pStyle w:val="5"/>
        <w:numPr>
          <w:ilvl w:val="0"/>
          <w:numId w:val="1"/>
        </w:numPr>
        <w:snapToGrid w:val="0"/>
        <w:spacing w:line="360" w:lineRule="auto"/>
        <w:contextualSpacing/>
        <w:rPr>
          <w:rFonts w:hint="eastAsia" w:ascii="宋体" w:hAnsi="宋体" w:eastAsia="宋体" w:cs="宋体"/>
          <w:sz w:val="24"/>
          <w:szCs w:val="24"/>
          <w:lang w:val="en-US" w:eastAsia="zh-CN"/>
        </w:rPr>
      </w:pPr>
      <w:r>
        <w:rPr>
          <w:rFonts w:hint="eastAsia" w:asciiTheme="minorEastAsia" w:hAnsiTheme="minorEastAsia" w:eastAsiaTheme="minorEastAsia"/>
          <w:b/>
          <w:bCs/>
          <w:sz w:val="24"/>
          <w:szCs w:val="24"/>
          <w:lang w:val="en-US" w:eastAsia="zh-CN"/>
        </w:rPr>
        <w:t>收费标准：</w:t>
      </w:r>
    </w:p>
    <w:p w14:paraId="3E7BF2F3">
      <w:pPr>
        <w:pStyle w:val="5"/>
        <w:numPr>
          <w:ilvl w:val="0"/>
          <w:numId w:val="0"/>
        </w:numPr>
        <w:snapToGrid w:val="0"/>
        <w:spacing w:line="360" w:lineRule="auto"/>
        <w:ind w:firstLine="420" w:firstLineChars="200"/>
        <w:contextualSpacing/>
        <w:rPr>
          <w:rFonts w:hint="eastAsia" w:ascii="宋体" w:hAnsi="宋体" w:eastAsia="宋体" w:cs="宋体"/>
          <w:sz w:val="24"/>
          <w:szCs w:val="24"/>
          <w:lang w:val="en-US" w:eastAsia="zh-CN"/>
        </w:rPr>
      </w:pPr>
      <w:r>
        <w:rPr>
          <w:rFonts w:hint="eastAsia" w:ascii="宋体" w:hAnsi="宋体" w:eastAsia="宋体" w:cs="宋体"/>
          <w:b w:val="0"/>
          <w:bCs/>
          <w:color w:val="auto"/>
          <w:sz w:val="21"/>
          <w:szCs w:val="21"/>
          <w:lang w:val="en-US" w:eastAsia="zh-CN"/>
        </w:rPr>
        <w:t>学费缴纳分两段制进行，即课程学习阶段和撰写学位论文和论文答辩阶段，课程学习培养阶段学费为</w:t>
      </w:r>
      <w:r>
        <w:rPr>
          <w:rFonts w:hint="eastAsia" w:cs="宋体"/>
          <w:b w:val="0"/>
          <w:bCs/>
          <w:color w:val="auto"/>
          <w:sz w:val="21"/>
          <w:szCs w:val="21"/>
          <w:lang w:val="en-US" w:eastAsia="zh-CN"/>
        </w:rPr>
        <w:t>1</w:t>
      </w:r>
      <w:r>
        <w:rPr>
          <w:rFonts w:hint="eastAsia" w:ascii="宋体" w:hAnsi="宋体" w:eastAsia="宋体" w:cs="宋体"/>
          <w:b w:val="0"/>
          <w:bCs/>
          <w:color w:val="auto"/>
          <w:sz w:val="21"/>
          <w:szCs w:val="21"/>
          <w:lang w:val="en-US" w:eastAsia="zh-CN"/>
        </w:rPr>
        <w:t xml:space="preserve">5000元，论文指导费为8000元，收费要求以学校实际要求为准。  </w:t>
      </w:r>
      <w:r>
        <w:rPr>
          <w:rFonts w:hint="eastAsia" w:ascii="宋体" w:hAnsi="宋体" w:eastAsia="宋体" w:cs="宋体"/>
          <w:sz w:val="24"/>
          <w:szCs w:val="24"/>
          <w:lang w:val="en-US" w:eastAsia="zh-CN"/>
        </w:rPr>
        <w:t xml:space="preserve"> </w:t>
      </w:r>
    </w:p>
    <w:p w14:paraId="1A12EDAC">
      <w:pPr>
        <w:pStyle w:val="5"/>
        <w:widowControl/>
        <w:numPr>
          <w:ilvl w:val="0"/>
          <w:numId w:val="0"/>
        </w:numPr>
        <w:snapToGrid w:val="0"/>
        <w:spacing w:before="100" w:beforeAutospacing="1" w:after="100" w:afterAutospacing="1" w:line="360" w:lineRule="auto"/>
        <w:contextualSpacing/>
        <w:jc w:val="left"/>
        <w:rPr>
          <w:rFonts w:hint="default" w:asciiTheme="minorEastAsia" w:hAnsiTheme="minorEastAsia" w:eastAsiaTheme="minorEastAsia"/>
          <w:b/>
          <w:bCs/>
          <w:sz w:val="24"/>
          <w:szCs w:val="24"/>
          <w:lang w:val="en-US" w:eastAsia="zh-CN"/>
        </w:rPr>
      </w:pPr>
    </w:p>
    <w:p w14:paraId="7198D698">
      <w:pPr>
        <w:pStyle w:val="5"/>
        <w:snapToGrid w:val="0"/>
        <w:spacing w:line="360" w:lineRule="auto"/>
        <w:contextualSpacing/>
        <w:rPr>
          <w:rFonts w:asciiTheme="minorEastAsia" w:hAnsiTheme="minorEastAsia"/>
          <w:szCs w:val="21"/>
        </w:rPr>
      </w:pPr>
      <w:bookmarkStart w:id="0" w:name="_GoBack"/>
      <w:bookmarkEnd w:id="0"/>
    </w:p>
    <w:sectPr>
      <w:headerReference r:id="rId5" w:type="first"/>
      <w:headerReference r:id="rId3" w:type="default"/>
      <w:headerReference r:id="rId4"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D50C9">
    <w:pPr>
      <w:pStyle w:val="4"/>
      <w:tabs>
        <w:tab w:val="center" w:pos="4213"/>
        <w:tab w:val="left" w:pos="6891"/>
      </w:tabs>
      <w:jc w:val="left"/>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266690" cy="5266690"/>
          <wp:effectExtent l="0" t="0" r="10160" b="10160"/>
          <wp:wrapNone/>
          <wp:docPr id="4" name="WordPictureWatermark113217064"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113217064"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20993">
    <w:pPr>
      <w:pStyle w:val="4"/>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266690" cy="5266690"/>
          <wp:effectExtent l="0" t="0" r="10160" b="10160"/>
          <wp:wrapNone/>
          <wp:docPr id="3" name="WordPictureWatermark113217063"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13217063"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349D37">
    <w:pPr>
      <w:pStyle w:val="4"/>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266690" cy="5266690"/>
          <wp:effectExtent l="0" t="0" r="10160" b="10160"/>
          <wp:wrapNone/>
          <wp:docPr id="1" name="WordPictureWatermark113217062" descr="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113217062" descr="222"/>
                  <pic:cNvPicPr>
                    <a:picLocks noChangeAspect="1"/>
                  </pic:cNvPicPr>
                </pic:nvPicPr>
                <pic:blipFill>
                  <a:blip r:embed="rId1">
                    <a:lum bright="70001" contrast="-70000"/>
                  </a:blip>
                  <a:stretch>
                    <a:fillRect/>
                  </a:stretch>
                </pic:blipFill>
                <pic:spPr>
                  <a:xfrm>
                    <a:off x="0" y="0"/>
                    <a:ext cx="5266690" cy="526669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FB78AB"/>
    <w:multiLevelType w:val="singleLevel"/>
    <w:tmpl w:val="B3FB78AB"/>
    <w:lvl w:ilvl="0" w:tentative="0">
      <w:start w:val="1"/>
      <w:numFmt w:val="decimal"/>
      <w:suff w:val="nothing"/>
      <w:lvlText w:val="%1、"/>
      <w:lvlJc w:val="left"/>
    </w:lvl>
  </w:abstractNum>
  <w:abstractNum w:abstractNumId="1">
    <w:nsid w:val="C000E8B9"/>
    <w:multiLevelType w:val="singleLevel"/>
    <w:tmpl w:val="C000E8B9"/>
    <w:lvl w:ilvl="0" w:tentative="0">
      <w:start w:val="1"/>
      <w:numFmt w:val="decimal"/>
      <w:suff w:val="nothing"/>
      <w:lvlText w:val="%1、"/>
      <w:lvlJc w:val="left"/>
      <w:rPr>
        <w:rFonts w:hint="default"/>
        <w:b/>
        <w:bCs/>
      </w:rPr>
    </w:lvl>
  </w:abstractNum>
  <w:abstractNum w:abstractNumId="2">
    <w:nsid w:val="FD979A40"/>
    <w:multiLevelType w:val="singleLevel"/>
    <w:tmpl w:val="FD979A40"/>
    <w:lvl w:ilvl="0" w:tentative="0">
      <w:start w:val="1"/>
      <w:numFmt w:val="chineseCounting"/>
      <w:suff w:val="nothing"/>
      <w:lvlText w:val="%1、"/>
      <w:lvlJc w:val="left"/>
      <w:rPr>
        <w:rFonts w:hint="eastAsia"/>
        <w:b/>
        <w:bCs/>
      </w:rPr>
    </w:lvl>
  </w:abstractNum>
  <w:abstractNum w:abstractNumId="3">
    <w:nsid w:val="62366322"/>
    <w:multiLevelType w:val="singleLevel"/>
    <w:tmpl w:val="62366322"/>
    <w:lvl w:ilvl="0" w:tentative="0">
      <w:start w:val="1"/>
      <w:numFmt w:val="decimal"/>
      <w:suff w:val="nothing"/>
      <w:lvlText w:val="%1、"/>
      <w:lvlJc w:val="left"/>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00B032C0"/>
    <w:rsid w:val="00082F90"/>
    <w:rsid w:val="0008532F"/>
    <w:rsid w:val="000A69B5"/>
    <w:rsid w:val="000E73B0"/>
    <w:rsid w:val="001514BE"/>
    <w:rsid w:val="00160303"/>
    <w:rsid w:val="001904E4"/>
    <w:rsid w:val="00223CE0"/>
    <w:rsid w:val="002519DA"/>
    <w:rsid w:val="00296044"/>
    <w:rsid w:val="002B1210"/>
    <w:rsid w:val="002B1B2B"/>
    <w:rsid w:val="004B538B"/>
    <w:rsid w:val="004E753A"/>
    <w:rsid w:val="004F5BC4"/>
    <w:rsid w:val="00556C91"/>
    <w:rsid w:val="005B2E48"/>
    <w:rsid w:val="00715789"/>
    <w:rsid w:val="00717213"/>
    <w:rsid w:val="00764FAE"/>
    <w:rsid w:val="007B0553"/>
    <w:rsid w:val="007D1D49"/>
    <w:rsid w:val="00800692"/>
    <w:rsid w:val="00810410"/>
    <w:rsid w:val="009D1993"/>
    <w:rsid w:val="00A16BE0"/>
    <w:rsid w:val="00AB0641"/>
    <w:rsid w:val="00AC5EE8"/>
    <w:rsid w:val="00B032C0"/>
    <w:rsid w:val="00B35C22"/>
    <w:rsid w:val="00B552D8"/>
    <w:rsid w:val="00BF6C72"/>
    <w:rsid w:val="00C5768A"/>
    <w:rsid w:val="00CC3E5F"/>
    <w:rsid w:val="00D00E82"/>
    <w:rsid w:val="00D61FBE"/>
    <w:rsid w:val="00D95A35"/>
    <w:rsid w:val="00DA56A4"/>
    <w:rsid w:val="00E1601C"/>
    <w:rsid w:val="00E35455"/>
    <w:rsid w:val="00EB2B73"/>
    <w:rsid w:val="00EB77DD"/>
    <w:rsid w:val="00EC57B5"/>
    <w:rsid w:val="00F03EC2"/>
    <w:rsid w:val="00F53410"/>
    <w:rsid w:val="00FA4E16"/>
    <w:rsid w:val="00FE08FD"/>
    <w:rsid w:val="02DA7AD5"/>
    <w:rsid w:val="033E702A"/>
    <w:rsid w:val="07A20778"/>
    <w:rsid w:val="0AB903B7"/>
    <w:rsid w:val="0DC9740F"/>
    <w:rsid w:val="1236663D"/>
    <w:rsid w:val="15F72CBA"/>
    <w:rsid w:val="1C321559"/>
    <w:rsid w:val="205138FC"/>
    <w:rsid w:val="23165E81"/>
    <w:rsid w:val="262E332F"/>
    <w:rsid w:val="33114748"/>
    <w:rsid w:val="3C9B62A5"/>
    <w:rsid w:val="49766A5B"/>
    <w:rsid w:val="49B24E9D"/>
    <w:rsid w:val="4E170C5E"/>
    <w:rsid w:val="4F5817CA"/>
    <w:rsid w:val="576A35BB"/>
    <w:rsid w:val="5E811B56"/>
    <w:rsid w:val="5EAF647B"/>
    <w:rsid w:val="613967DA"/>
    <w:rsid w:val="77F253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semiHidden/>
    <w:unhideWhenUsed/>
    <w:qFormat/>
    <w:uiPriority w:val="99"/>
    <w:rPr>
      <w:color w:val="0000FF"/>
      <w:u w:val="single"/>
    </w:rPr>
  </w:style>
  <w:style w:type="character" w:customStyle="1" w:styleId="10">
    <w:name w:val="批注框文本 Char"/>
    <w:basedOn w:val="8"/>
    <w:link w:val="2"/>
    <w:autoRedefine/>
    <w:semiHidden/>
    <w:qFormat/>
    <w:uiPriority w:val="99"/>
    <w:rPr>
      <w:sz w:val="18"/>
      <w:szCs w:val="18"/>
    </w:rPr>
  </w:style>
  <w:style w:type="character" w:customStyle="1" w:styleId="11">
    <w:name w:val="页眉 Char"/>
    <w:basedOn w:val="8"/>
    <w:link w:val="4"/>
    <w:semiHidden/>
    <w:qFormat/>
    <w:uiPriority w:val="99"/>
    <w:rPr>
      <w:sz w:val="18"/>
      <w:szCs w:val="18"/>
    </w:rPr>
  </w:style>
  <w:style w:type="character" w:customStyle="1" w:styleId="12">
    <w:name w:val="页脚 Char"/>
    <w:basedOn w:val="8"/>
    <w:link w:val="3"/>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4</Pages>
  <Words>1821</Words>
  <Characters>1855</Characters>
  <Lines>14</Lines>
  <Paragraphs>3</Paragraphs>
  <TotalTime>2</TotalTime>
  <ScaleCrop>false</ScaleCrop>
  <LinksUpToDate>false</LinksUpToDate>
  <CharactersWithSpaces>1876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2021-03-07T09:19:00Z</dcterms:created>
  <dc:creator>微软用户</dc:creator>
  <cp:lastModifiedBy>Administrator</cp:lastModifiedBy>
  <dcterms:modified xsi:type="dcterms:W3CDTF">2026-01-14T10:45:22Z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913F750A9F7E4D6E84C197A49C8BAB51</vt:lpwstr>
  </property>
  <property fmtid="{D5CDD505-2E9C-101B-9397-08002B2CF9AE}" pid="4" name="KSOTemplateDocerSaveRecord">
    <vt:lpwstr>eyJoZGlkIjoiMjJkYmYyOGQwNjU2YTFjYjBlYWQzZDdlZjc2Nzk1ZWYifQ==</vt:lpwstr>
  </property>
</Properties>
</file>