
<file path=[Content_Types].xml><?xml version="1.0" encoding="utf-8"?>
<Types xmlns="http://schemas.openxmlformats.org/package/2006/content-types">
  <Default Extension="jpeg" ContentType="image/jpeg"/>
  <Default Extension="JPG" ContentType="image/.jp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F754DF2">
      <w:pPr>
        <w:pStyle w:val="5"/>
        <w:snapToGrid w:val="0"/>
        <w:spacing w:line="360" w:lineRule="auto"/>
        <w:ind w:left="3150" w:hanging="3150" w:hangingChars="1500"/>
        <w:contextualSpacing/>
        <w:rPr>
          <w:rFonts w:asciiTheme="minorEastAsia" w:hAnsiTheme="minorEastAsia" w:eastAsiaTheme="minorEastAsia"/>
          <w:sz w:val="21"/>
          <w:szCs w:val="21"/>
        </w:rPr>
      </w:pPr>
      <w:r>
        <w:rPr>
          <w:rFonts w:hint="eastAsia" w:asciiTheme="minorEastAsia" w:hAnsiTheme="minorEastAsia" w:eastAsiaTheme="minorEastAsia"/>
          <w:sz w:val="21"/>
          <w:szCs w:val="21"/>
        </w:rPr>
        <w:drawing>
          <wp:inline distT="0" distB="0" distL="0" distR="0">
            <wp:extent cx="5274310" cy="1005205"/>
            <wp:effectExtent l="19050" t="0" r="2540" b="0"/>
            <wp:docPr id="2" name="图片 1" descr="11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descr="1111.png"/>
                    <pic:cNvPicPr>
                      <a:picLocks noChangeAspect="1"/>
                    </pic:cNvPicPr>
                  </pic:nvPicPr>
                  <pic:blipFill>
                    <a:blip r:embed="rId7" cstate="print"/>
                    <a:stretch>
                      <a:fillRect/>
                    </a:stretch>
                  </pic:blipFill>
                  <pic:spPr>
                    <a:xfrm>
                      <a:off x="0" y="0"/>
                      <a:ext cx="5274310" cy="1005205"/>
                    </a:xfrm>
                    <a:prstGeom prst="rect">
                      <a:avLst/>
                    </a:prstGeom>
                  </pic:spPr>
                </pic:pic>
              </a:graphicData>
            </a:graphic>
          </wp:inline>
        </w:drawing>
      </w:r>
    </w:p>
    <w:p w14:paraId="61F19410">
      <w:pPr>
        <w:pStyle w:val="5"/>
        <w:snapToGrid w:val="0"/>
        <w:spacing w:line="360" w:lineRule="auto"/>
        <w:ind w:left="2740" w:leftChars="100" w:hanging="2530" w:hangingChars="700"/>
        <w:contextualSpacing/>
        <w:jc w:val="center"/>
        <w:rPr>
          <w:rFonts w:asciiTheme="majorEastAsia" w:hAnsiTheme="majorEastAsia" w:eastAsiaTheme="majorEastAsia"/>
          <w:b/>
          <w:sz w:val="36"/>
          <w:szCs w:val="36"/>
        </w:rPr>
      </w:pPr>
    </w:p>
    <w:p w14:paraId="305394DE">
      <w:pPr>
        <w:pStyle w:val="5"/>
        <w:snapToGrid w:val="0"/>
        <w:spacing w:line="360" w:lineRule="auto"/>
        <w:ind w:left="2740" w:leftChars="100" w:hanging="2530" w:hangingChars="700"/>
        <w:contextualSpacing/>
        <w:jc w:val="center"/>
        <w:rPr>
          <w:rFonts w:asciiTheme="majorEastAsia" w:hAnsiTheme="majorEastAsia" w:eastAsiaTheme="majorEastAsia"/>
          <w:b/>
          <w:sz w:val="36"/>
          <w:szCs w:val="36"/>
        </w:rPr>
      </w:pPr>
      <w:r>
        <w:rPr>
          <w:rFonts w:asciiTheme="majorEastAsia" w:hAnsiTheme="majorEastAsia" w:eastAsiaTheme="majorEastAsia"/>
          <w:b/>
          <w:sz w:val="36"/>
          <w:szCs w:val="36"/>
        </w:rPr>
        <w:t>江西财经大学</w:t>
      </w:r>
      <w:r>
        <w:rPr>
          <w:rFonts w:hint="eastAsia" w:asciiTheme="majorEastAsia" w:hAnsiTheme="majorEastAsia" w:eastAsiaTheme="majorEastAsia"/>
          <w:b/>
          <w:sz w:val="36"/>
          <w:szCs w:val="36"/>
          <w:lang w:val="en-US" w:eastAsia="zh-CN"/>
        </w:rPr>
        <w:t>刑法</w:t>
      </w:r>
      <w:r>
        <w:rPr>
          <w:rFonts w:asciiTheme="majorEastAsia" w:hAnsiTheme="majorEastAsia" w:eastAsiaTheme="majorEastAsia"/>
          <w:b/>
          <w:sz w:val="36"/>
          <w:szCs w:val="36"/>
        </w:rPr>
        <w:t>高级课程研修班</w:t>
      </w:r>
    </w:p>
    <w:p w14:paraId="49E6EF19">
      <w:pPr>
        <w:pStyle w:val="5"/>
        <w:snapToGrid w:val="0"/>
        <w:spacing w:line="360" w:lineRule="auto"/>
        <w:ind w:left="2740" w:leftChars="100" w:hanging="2530" w:hangingChars="700"/>
        <w:contextualSpacing/>
        <w:jc w:val="center"/>
        <w:rPr>
          <w:rFonts w:hint="eastAsia" w:asciiTheme="majorEastAsia" w:hAnsiTheme="majorEastAsia" w:eastAsiaTheme="majorEastAsia"/>
          <w:b/>
          <w:sz w:val="30"/>
          <w:szCs w:val="30"/>
          <w:lang w:val="en-US" w:eastAsia="zh-CN"/>
        </w:rPr>
      </w:pPr>
      <w:r>
        <w:rPr>
          <w:rFonts w:asciiTheme="majorEastAsia" w:hAnsiTheme="majorEastAsia" w:eastAsiaTheme="majorEastAsia"/>
          <w:b/>
          <w:sz w:val="36"/>
          <w:szCs w:val="36"/>
        </w:rPr>
        <w:t>招生</w:t>
      </w:r>
      <w:r>
        <w:rPr>
          <w:rFonts w:hint="eastAsia" w:asciiTheme="majorEastAsia" w:hAnsiTheme="majorEastAsia" w:eastAsiaTheme="majorEastAsia"/>
          <w:b/>
          <w:sz w:val="36"/>
          <w:szCs w:val="36"/>
          <w:lang w:val="en-US" w:eastAsia="zh-CN"/>
        </w:rPr>
        <w:t>简章</w:t>
      </w:r>
    </w:p>
    <w:p w14:paraId="065CA227">
      <w:pPr>
        <w:pStyle w:val="5"/>
        <w:snapToGrid w:val="0"/>
        <w:spacing w:line="360" w:lineRule="auto"/>
        <w:contextualSpacing/>
        <w:jc w:val="center"/>
        <w:rPr>
          <w:rFonts w:asciiTheme="minorEastAsia" w:hAnsiTheme="minorEastAsia" w:eastAsiaTheme="minorEastAsia"/>
          <w:color w:val="FF0000"/>
          <w:sz w:val="21"/>
          <w:szCs w:val="21"/>
        </w:rPr>
      </w:pPr>
      <w:r>
        <w:rPr>
          <w:rFonts w:hint="eastAsia" w:asciiTheme="minorEastAsia" w:hAnsiTheme="minorEastAsia" w:eastAsiaTheme="minorEastAsia"/>
          <w:color w:val="FF0000"/>
          <w:sz w:val="21"/>
          <w:szCs w:val="21"/>
        </w:rPr>
        <w:t>全国招生，设</w:t>
      </w:r>
      <w:r>
        <w:rPr>
          <w:rFonts w:asciiTheme="minorEastAsia" w:hAnsiTheme="minorEastAsia" w:eastAsiaTheme="minorEastAsia"/>
          <w:color w:val="FF0000"/>
          <w:sz w:val="21"/>
          <w:szCs w:val="21"/>
        </w:rPr>
        <w:t>网络教学</w:t>
      </w:r>
    </w:p>
    <w:p w14:paraId="0E6FE7B0">
      <w:pPr>
        <w:pStyle w:val="5"/>
        <w:snapToGrid w:val="0"/>
        <w:spacing w:line="360" w:lineRule="auto"/>
        <w:contextualSpacing/>
        <w:rPr>
          <w:rFonts w:hint="default" w:asciiTheme="minorEastAsia" w:hAnsiTheme="minorEastAsia" w:eastAsiaTheme="minorEastAsia"/>
          <w:sz w:val="21"/>
          <w:szCs w:val="21"/>
          <w:lang w:val="en-US" w:eastAsia="zh-CN"/>
        </w:rPr>
      </w:pPr>
    </w:p>
    <w:p w14:paraId="5B85705D">
      <w:pPr>
        <w:pStyle w:val="5"/>
        <w:numPr>
          <w:ilvl w:val="0"/>
          <w:numId w:val="1"/>
        </w:numPr>
        <w:snapToGrid w:val="0"/>
        <w:spacing w:line="360" w:lineRule="auto"/>
        <w:contextualSpacing/>
        <w:rPr>
          <w:rFonts w:hint="eastAsia" w:asciiTheme="minorEastAsia" w:hAnsiTheme="minorEastAsia" w:eastAsiaTheme="minorEastAsia"/>
          <w:b/>
          <w:bCs/>
          <w:sz w:val="24"/>
          <w:szCs w:val="24"/>
          <w:lang w:val="en-US" w:eastAsia="zh-CN"/>
        </w:rPr>
      </w:pPr>
      <w:r>
        <w:rPr>
          <w:rFonts w:hint="eastAsia" w:asciiTheme="minorEastAsia" w:hAnsiTheme="minorEastAsia" w:eastAsiaTheme="minorEastAsia"/>
          <w:b/>
          <w:bCs/>
          <w:sz w:val="24"/>
          <w:szCs w:val="24"/>
          <w:lang w:val="en-US" w:eastAsia="zh-CN"/>
        </w:rPr>
        <w:t>院校简介：</w:t>
      </w:r>
    </w:p>
    <w:p w14:paraId="127E1DC5">
      <w:pPr>
        <w:pStyle w:val="5"/>
        <w:widowControl/>
        <w:numPr>
          <w:ilvl w:val="0"/>
          <w:numId w:val="0"/>
        </w:numPr>
        <w:snapToGrid w:val="0"/>
        <w:spacing w:before="100" w:beforeAutospacing="1" w:after="100" w:afterAutospacing="1" w:line="360" w:lineRule="auto"/>
        <w:ind w:firstLine="420" w:firstLineChars="200"/>
        <w:contextualSpacing/>
        <w:jc w:val="left"/>
        <w:rPr>
          <w:rFonts w:hint="eastAsia" w:asciiTheme="minorEastAsia" w:hAnsiTheme="minorEastAsia" w:eastAsiaTheme="minorEastAsia"/>
          <w:b w:val="0"/>
          <w:bCs w:val="0"/>
          <w:sz w:val="21"/>
          <w:szCs w:val="21"/>
          <w:lang w:val="en-US" w:eastAsia="zh-CN"/>
        </w:rPr>
      </w:pPr>
      <w:r>
        <w:rPr>
          <w:rFonts w:hint="eastAsia" w:asciiTheme="minorEastAsia" w:hAnsiTheme="minorEastAsia" w:eastAsiaTheme="minorEastAsia"/>
          <w:b w:val="0"/>
          <w:bCs w:val="0"/>
          <w:sz w:val="21"/>
          <w:szCs w:val="21"/>
          <w:lang w:val="en-US" w:eastAsia="zh-CN"/>
        </w:rPr>
        <w:t>江西财经大学是一所财政部、教育部、江西省人民政府共建，以经济、管理类学科为主，法、工、文、理、艺术、教育等学科协调发展的高等财经学府。江西财经大学研究生教育肇始于1985年，1998年获批博士学位授予权，2004年获批博士后科研流动站。经过三十多年的发展，已经形成了一个从硕士到博士后、从学术学位到专业学位、从全日制到在职等多层次的研究生教育体系。</w:t>
      </w:r>
    </w:p>
    <w:p w14:paraId="0DBB3695">
      <w:pPr>
        <w:pStyle w:val="5"/>
        <w:widowControl/>
        <w:numPr>
          <w:ilvl w:val="0"/>
          <w:numId w:val="0"/>
        </w:numPr>
        <w:snapToGrid w:val="0"/>
        <w:spacing w:before="100" w:beforeAutospacing="1" w:after="100" w:afterAutospacing="1" w:line="360" w:lineRule="auto"/>
        <w:ind w:firstLine="420" w:firstLineChars="200"/>
        <w:contextualSpacing/>
        <w:jc w:val="left"/>
        <w:rPr>
          <w:rFonts w:hint="eastAsia" w:asciiTheme="minorEastAsia" w:hAnsiTheme="minorEastAsia" w:eastAsiaTheme="minorEastAsia"/>
          <w:b w:val="0"/>
          <w:bCs w:val="0"/>
          <w:sz w:val="21"/>
          <w:szCs w:val="21"/>
          <w:lang w:val="en-US" w:eastAsia="zh-CN"/>
        </w:rPr>
      </w:pPr>
      <w:r>
        <w:rPr>
          <w:rFonts w:hint="eastAsia" w:asciiTheme="minorEastAsia" w:hAnsiTheme="minorEastAsia" w:eastAsiaTheme="minorEastAsia"/>
          <w:b w:val="0"/>
          <w:bCs w:val="0"/>
          <w:sz w:val="21"/>
          <w:szCs w:val="21"/>
          <w:lang w:val="en-US" w:eastAsia="zh-CN"/>
        </w:rPr>
        <w:t>学校现有经济学、管理学、法学、工学、文学、理学、艺术等学科门类；拥有应用经济学、理论经济学、管理科学与工程、工商管理、统计学、法学、马克思主义理论共7个博士后流动站；应用经济学、理论经济学、管理科学与工程、工商管理、统计学、法学、马克思主义理论共7个一级博士学位授权点，39个二级博士学位授权点，13个一级硕士学位授权点，70个二级硕士学位授权点，18个专业硕士学位授权点。</w:t>
      </w:r>
    </w:p>
    <w:p w14:paraId="0A64D709">
      <w:pPr>
        <w:pStyle w:val="5"/>
        <w:widowControl/>
        <w:numPr>
          <w:ilvl w:val="0"/>
          <w:numId w:val="0"/>
        </w:numPr>
        <w:snapToGrid w:val="0"/>
        <w:spacing w:before="100" w:beforeAutospacing="1" w:after="100" w:afterAutospacing="1" w:line="360" w:lineRule="auto"/>
        <w:contextualSpacing/>
        <w:jc w:val="left"/>
        <w:rPr>
          <w:rFonts w:hint="eastAsia" w:asciiTheme="minorEastAsia" w:hAnsiTheme="minorEastAsia" w:eastAsiaTheme="minorEastAsia"/>
          <w:b w:val="0"/>
          <w:bCs w:val="0"/>
          <w:sz w:val="21"/>
          <w:szCs w:val="21"/>
          <w:lang w:val="en-US" w:eastAsia="zh-CN"/>
        </w:rPr>
      </w:pPr>
      <w:r>
        <w:rPr>
          <w:rFonts w:hint="eastAsia" w:asciiTheme="minorEastAsia" w:hAnsiTheme="minorEastAsia" w:eastAsiaTheme="minorEastAsia"/>
          <w:b w:val="0"/>
          <w:bCs w:val="0"/>
          <w:sz w:val="21"/>
          <w:szCs w:val="21"/>
          <w:lang w:val="en-US" w:eastAsia="zh-CN"/>
        </w:rPr>
        <w:t xml:space="preserve">    法学院源于1984年设立的经济学系经济法教研室；1995年成立经济法系；1999年经济法系更名为法律系；2001年在法律系的基础上组建法学院。自1998年起先后获得经济法学、刑法学、诉讼法学、宪法学与行政法学、民商法学、法学理论、国际法学、财税法等8个法学硕士学位授予权和法律硕士专业学位授予权，是江西省最早取得法律硕士授予权的单位（2003年），是江西省最早取得法学硕士授予权的单位之一（1998年），是全国财经类院校中最早取得法律硕士授予权的单位之一。2011年法学一级学科硕士点被遴选为江西省高等学校示范性硕士点。2011年在应用经济学一级学科博士点下自主设置法律经济学二级学科博士点。江西法治政府研究中心2013年获批为省高校人文社科重点研究基地。法治江西建设协同创新中心2015年获批为省级协同创新中心。2018年获批法学一级学科博士点。  现招收刑法学专业研修课程培训班学员，为社会各界提供优秀硕士研究生专业人才。</w:t>
      </w:r>
    </w:p>
    <w:p w14:paraId="28CE1E34">
      <w:pPr>
        <w:pStyle w:val="5"/>
        <w:widowControl/>
        <w:numPr>
          <w:ilvl w:val="0"/>
          <w:numId w:val="0"/>
        </w:numPr>
        <w:snapToGrid w:val="0"/>
        <w:spacing w:before="100" w:beforeAutospacing="1" w:after="100" w:afterAutospacing="1" w:line="360" w:lineRule="auto"/>
        <w:contextualSpacing/>
        <w:jc w:val="left"/>
        <w:rPr>
          <w:rFonts w:hint="eastAsia" w:asciiTheme="minorEastAsia" w:hAnsiTheme="minorEastAsia" w:eastAsiaTheme="minorEastAsia"/>
          <w:b/>
          <w:bCs/>
          <w:sz w:val="24"/>
          <w:szCs w:val="24"/>
          <w:lang w:val="en-US" w:eastAsia="zh-CN"/>
        </w:rPr>
      </w:pPr>
    </w:p>
    <w:p w14:paraId="7F503019">
      <w:pPr>
        <w:pStyle w:val="5"/>
        <w:numPr>
          <w:ilvl w:val="0"/>
          <w:numId w:val="1"/>
        </w:numPr>
        <w:snapToGrid w:val="0"/>
        <w:spacing w:line="360" w:lineRule="auto"/>
        <w:contextualSpacing/>
        <w:rPr>
          <w:rFonts w:hint="default" w:cs="宋体" w:asciiTheme="minorEastAsia" w:hAnsiTheme="minorEastAsia" w:eastAsiaTheme="minorEastAsia"/>
          <w:b w:val="0"/>
          <w:bCs w:val="0"/>
          <w:sz w:val="21"/>
          <w:szCs w:val="21"/>
          <w:lang w:val="en-US" w:eastAsia="zh-CN"/>
        </w:rPr>
      </w:pPr>
      <w:r>
        <w:rPr>
          <w:rFonts w:hint="eastAsia" w:asciiTheme="minorEastAsia" w:hAnsiTheme="minorEastAsia" w:eastAsiaTheme="minorEastAsia"/>
          <w:b/>
          <w:bCs/>
          <w:sz w:val="24"/>
          <w:szCs w:val="24"/>
          <w:lang w:val="en-US" w:eastAsia="zh-CN"/>
        </w:rPr>
        <w:t>培养目标：</w:t>
      </w:r>
    </w:p>
    <w:p w14:paraId="53D55569">
      <w:pPr>
        <w:pStyle w:val="5"/>
        <w:numPr>
          <w:ilvl w:val="0"/>
          <w:numId w:val="0"/>
        </w:numPr>
        <w:snapToGrid w:val="0"/>
        <w:spacing w:line="360" w:lineRule="auto"/>
        <w:ind w:firstLine="420" w:firstLineChars="200"/>
        <w:contextualSpacing/>
        <w:rPr>
          <w:rFonts w:hint="default" w:cs="宋体" w:asciiTheme="minorEastAsia" w:hAnsiTheme="minorEastAsia" w:eastAsiaTheme="minorEastAsia"/>
          <w:b w:val="0"/>
          <w:bCs w:val="0"/>
          <w:sz w:val="21"/>
          <w:szCs w:val="21"/>
          <w:lang w:val="en-US" w:eastAsia="zh-CN"/>
        </w:rPr>
      </w:pPr>
      <w:r>
        <w:rPr>
          <w:rFonts w:hint="eastAsia" w:cs="宋体" w:asciiTheme="minorEastAsia" w:hAnsiTheme="minorEastAsia" w:eastAsiaTheme="minorEastAsia"/>
          <w:b w:val="0"/>
          <w:bCs w:val="0"/>
          <w:sz w:val="21"/>
          <w:szCs w:val="21"/>
          <w:lang w:val="en-US" w:eastAsia="zh-CN"/>
        </w:rPr>
        <w:t>本专业要求学生全面掌握刑法基本理论知识，把握本学科的理论研究动态以及前沿问题，熟悉国内外刑法的基本制度、规范和案例，具有较强的事业心和责任感，具有良好的道德品质和学术修养，培养掌握一门外语，能比较熟练地运用该门外语阅读刑法学外方专业文献，能够独立从事刑法学研究、教学工作或司法等实际工作的高端人才。</w:t>
      </w:r>
    </w:p>
    <w:p w14:paraId="6409036D">
      <w:pPr>
        <w:pStyle w:val="5"/>
        <w:widowControl/>
        <w:numPr>
          <w:ilvl w:val="0"/>
          <w:numId w:val="0"/>
        </w:numPr>
        <w:snapToGrid w:val="0"/>
        <w:spacing w:before="100" w:beforeAutospacing="1" w:after="100" w:afterAutospacing="1" w:line="360" w:lineRule="auto"/>
        <w:contextualSpacing/>
        <w:jc w:val="left"/>
        <w:rPr>
          <w:rFonts w:hint="default" w:asciiTheme="minorEastAsia" w:hAnsiTheme="minorEastAsia" w:eastAsiaTheme="minorEastAsia"/>
          <w:b w:val="0"/>
          <w:bCs w:val="0"/>
          <w:sz w:val="21"/>
          <w:szCs w:val="21"/>
          <w:lang w:val="en-US" w:eastAsia="zh-CN"/>
        </w:rPr>
      </w:pPr>
    </w:p>
    <w:p w14:paraId="0A3D4978">
      <w:pPr>
        <w:pStyle w:val="5"/>
        <w:numPr>
          <w:ilvl w:val="0"/>
          <w:numId w:val="1"/>
        </w:numPr>
        <w:snapToGrid w:val="0"/>
        <w:spacing w:line="360" w:lineRule="auto"/>
        <w:contextualSpacing/>
        <w:rPr>
          <w:rFonts w:ascii="Times New Roman" w:hAnsi="Times New Roman"/>
        </w:rPr>
      </w:pPr>
      <w:r>
        <w:rPr>
          <w:rFonts w:hint="eastAsia" w:asciiTheme="minorEastAsia" w:hAnsiTheme="minorEastAsia" w:eastAsiaTheme="minorEastAsia"/>
          <w:b/>
          <w:bCs/>
          <w:sz w:val="24"/>
          <w:szCs w:val="24"/>
          <w:lang w:val="en-US" w:eastAsia="zh-CN"/>
        </w:rPr>
        <w:t>培养优势：</w:t>
      </w:r>
    </w:p>
    <w:p w14:paraId="623A560A">
      <w:pPr>
        <w:pStyle w:val="5"/>
        <w:numPr>
          <w:ilvl w:val="0"/>
          <w:numId w:val="2"/>
        </w:numPr>
        <w:snapToGrid w:val="0"/>
        <w:spacing w:line="360" w:lineRule="auto"/>
        <w:ind w:firstLine="422" w:firstLineChars="200"/>
        <w:contextualSpacing/>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b/>
          <w:bCs/>
          <w:sz w:val="21"/>
          <w:szCs w:val="21"/>
          <w:lang w:eastAsia="zh-CN"/>
        </w:rPr>
        <w:t>【</w:t>
      </w:r>
      <w:r>
        <w:rPr>
          <w:rFonts w:hint="eastAsia" w:asciiTheme="minorEastAsia" w:hAnsiTheme="minorEastAsia" w:eastAsiaTheme="minorEastAsia" w:cstheme="minorEastAsia"/>
          <w:b/>
          <w:bCs/>
          <w:sz w:val="21"/>
          <w:szCs w:val="21"/>
        </w:rPr>
        <w:t>免试入学</w:t>
      </w:r>
      <w:r>
        <w:rPr>
          <w:rFonts w:hint="eastAsia" w:asciiTheme="minorEastAsia" w:hAnsiTheme="minorEastAsia" w:eastAsiaTheme="minorEastAsia" w:cstheme="minorEastAsia"/>
          <w:b/>
          <w:bCs/>
          <w:sz w:val="21"/>
          <w:szCs w:val="21"/>
          <w:lang w:eastAsia="zh-CN"/>
        </w:rPr>
        <w:t>】</w:t>
      </w:r>
      <w:r>
        <w:rPr>
          <w:rFonts w:hint="eastAsia" w:asciiTheme="minorEastAsia" w:hAnsiTheme="minorEastAsia" w:eastAsiaTheme="minorEastAsia" w:cstheme="minorEastAsia"/>
          <w:sz w:val="21"/>
          <w:szCs w:val="21"/>
        </w:rPr>
        <w:t>：</w:t>
      </w:r>
      <w:r>
        <w:rPr>
          <w:rFonts w:hint="eastAsia" w:asciiTheme="minorEastAsia" w:hAnsiTheme="minorEastAsia" w:eastAsiaTheme="minorEastAsia" w:cstheme="minorEastAsia"/>
          <w:sz w:val="21"/>
          <w:szCs w:val="21"/>
          <w:lang w:val="en-US" w:eastAsia="zh-CN"/>
        </w:rPr>
        <w:t>大专以上即可报名，</w:t>
      </w:r>
      <w:r>
        <w:rPr>
          <w:rFonts w:hint="eastAsia" w:asciiTheme="minorEastAsia" w:hAnsiTheme="minorEastAsia" w:eastAsiaTheme="minorEastAsia" w:cstheme="minorEastAsia"/>
          <w:sz w:val="21"/>
          <w:szCs w:val="21"/>
        </w:rPr>
        <w:t>先学习再考试，有足够充分的准备和学习课程的时间；</w:t>
      </w:r>
    </w:p>
    <w:p w14:paraId="06865065">
      <w:pPr>
        <w:pStyle w:val="5"/>
        <w:numPr>
          <w:ilvl w:val="0"/>
          <w:numId w:val="2"/>
        </w:numPr>
        <w:snapToGrid w:val="0"/>
        <w:spacing w:line="360" w:lineRule="auto"/>
        <w:ind w:firstLine="422" w:firstLineChars="200"/>
        <w:contextualSpacing/>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b/>
          <w:bCs/>
          <w:sz w:val="21"/>
          <w:szCs w:val="21"/>
          <w:lang w:eastAsia="zh-CN"/>
        </w:rPr>
        <w:t>【</w:t>
      </w:r>
      <w:r>
        <w:rPr>
          <w:rFonts w:hint="eastAsia" w:asciiTheme="minorEastAsia" w:hAnsiTheme="minorEastAsia" w:eastAsiaTheme="minorEastAsia" w:cstheme="minorEastAsia"/>
          <w:b/>
          <w:bCs/>
          <w:sz w:val="21"/>
          <w:szCs w:val="21"/>
          <w:lang w:val="en-US" w:eastAsia="zh-CN"/>
        </w:rPr>
        <w:t>学习方式灵活</w:t>
      </w:r>
      <w:r>
        <w:rPr>
          <w:rFonts w:hint="eastAsia" w:asciiTheme="minorEastAsia" w:hAnsiTheme="minorEastAsia" w:eastAsiaTheme="minorEastAsia" w:cstheme="minorEastAsia"/>
          <w:b/>
          <w:bCs/>
          <w:sz w:val="21"/>
          <w:szCs w:val="21"/>
          <w:lang w:eastAsia="zh-CN"/>
        </w:rPr>
        <w:t>】：</w:t>
      </w:r>
      <w:r>
        <w:rPr>
          <w:rFonts w:hint="eastAsia" w:asciiTheme="minorEastAsia" w:hAnsiTheme="minorEastAsia" w:eastAsiaTheme="minorEastAsia" w:cstheme="minorEastAsia"/>
          <w:sz w:val="21"/>
          <w:szCs w:val="21"/>
          <w:lang w:val="en-US" w:eastAsia="zh-CN"/>
        </w:rPr>
        <w:t>授课方式采用线上线下灵活教学方式，社会在职人员可以边学习边工作，灵活学习</w:t>
      </w:r>
      <w:r>
        <w:rPr>
          <w:rFonts w:hint="eastAsia" w:asciiTheme="minorEastAsia" w:hAnsiTheme="minorEastAsia" w:eastAsiaTheme="minorEastAsia" w:cstheme="minorEastAsia"/>
          <w:sz w:val="21"/>
          <w:szCs w:val="21"/>
        </w:rPr>
        <w:t>；</w:t>
      </w:r>
    </w:p>
    <w:p w14:paraId="5BBE6FA8">
      <w:pPr>
        <w:pStyle w:val="5"/>
        <w:numPr>
          <w:ilvl w:val="0"/>
          <w:numId w:val="2"/>
        </w:numPr>
        <w:snapToGrid w:val="0"/>
        <w:spacing w:line="360" w:lineRule="auto"/>
        <w:ind w:firstLine="422" w:firstLineChars="200"/>
        <w:contextualSpacing/>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b/>
          <w:bCs/>
          <w:sz w:val="21"/>
          <w:szCs w:val="21"/>
          <w:lang w:eastAsia="zh-CN"/>
        </w:rPr>
        <w:t>【</w:t>
      </w:r>
      <w:r>
        <w:rPr>
          <w:rFonts w:hint="eastAsia" w:asciiTheme="minorEastAsia" w:hAnsiTheme="minorEastAsia" w:eastAsiaTheme="minorEastAsia" w:cstheme="minorEastAsia"/>
          <w:b/>
          <w:bCs/>
          <w:sz w:val="21"/>
          <w:szCs w:val="21"/>
        </w:rPr>
        <w:t>师资队伍</w:t>
      </w:r>
      <w:r>
        <w:rPr>
          <w:rFonts w:hint="eastAsia" w:asciiTheme="minorEastAsia" w:hAnsiTheme="minorEastAsia" w:eastAsiaTheme="minorEastAsia" w:cstheme="minorEastAsia"/>
          <w:b/>
          <w:bCs/>
          <w:sz w:val="21"/>
          <w:szCs w:val="21"/>
          <w:lang w:eastAsia="zh-CN"/>
        </w:rPr>
        <w:t>】</w:t>
      </w:r>
      <w:r>
        <w:rPr>
          <w:rFonts w:hint="eastAsia" w:asciiTheme="minorEastAsia" w:hAnsiTheme="minorEastAsia" w:eastAsiaTheme="minorEastAsia" w:cstheme="minorEastAsia"/>
          <w:sz w:val="21"/>
          <w:szCs w:val="21"/>
        </w:rPr>
        <w:t>：</w:t>
      </w:r>
      <w:r>
        <w:rPr>
          <w:rFonts w:hint="eastAsia" w:asciiTheme="minorEastAsia" w:hAnsiTheme="minorEastAsia" w:eastAsiaTheme="minorEastAsia" w:cstheme="minorEastAsia"/>
          <w:sz w:val="21"/>
          <w:szCs w:val="21"/>
          <w:lang w:val="en-US" w:eastAsia="zh-CN"/>
        </w:rPr>
        <w:t>学校拥有结构合理、素质优良、可持续发展的师资队伍，国内外330余名著名学者、专家和企业家受聘为学校客座教授；</w:t>
      </w:r>
    </w:p>
    <w:p w14:paraId="661525AC">
      <w:pPr>
        <w:pStyle w:val="5"/>
        <w:numPr>
          <w:ilvl w:val="0"/>
          <w:numId w:val="2"/>
        </w:numPr>
        <w:snapToGrid w:val="0"/>
        <w:spacing w:line="360" w:lineRule="auto"/>
        <w:ind w:firstLine="422" w:firstLineChars="200"/>
        <w:contextualSpacing/>
        <w:rPr>
          <w:rFonts w:hint="eastAsia" w:asciiTheme="minorEastAsia" w:hAnsiTheme="minorEastAsia" w:eastAsiaTheme="minorEastAsia" w:cstheme="minorEastAsia"/>
          <w:b/>
          <w:bCs/>
          <w:sz w:val="21"/>
          <w:szCs w:val="21"/>
          <w:lang w:val="en-US" w:eastAsia="zh-CN"/>
        </w:rPr>
      </w:pPr>
      <w:r>
        <w:rPr>
          <w:rFonts w:hint="eastAsia" w:asciiTheme="minorEastAsia" w:hAnsiTheme="minorEastAsia" w:eastAsiaTheme="minorEastAsia" w:cstheme="minorEastAsia"/>
          <w:b/>
          <w:bCs/>
          <w:sz w:val="21"/>
          <w:szCs w:val="21"/>
          <w:lang w:val="en-US" w:eastAsia="zh-CN"/>
        </w:rPr>
        <w:t>【申硕机会多】</w:t>
      </w:r>
      <w:r>
        <w:rPr>
          <w:rFonts w:hint="eastAsia" w:asciiTheme="minorEastAsia" w:hAnsiTheme="minorEastAsia" w:eastAsiaTheme="minorEastAsia" w:cstheme="minorEastAsia"/>
          <w:b w:val="0"/>
          <w:bCs w:val="0"/>
          <w:sz w:val="21"/>
          <w:szCs w:val="21"/>
          <w:lang w:val="en-US" w:eastAsia="zh-CN"/>
        </w:rPr>
        <w:t>：完成课业安排，只要达到申硕条件者，可申请4年内每年参加同等学力申硕考试；</w:t>
      </w:r>
    </w:p>
    <w:p w14:paraId="492A6817">
      <w:pPr>
        <w:pStyle w:val="5"/>
        <w:numPr>
          <w:ilvl w:val="0"/>
          <w:numId w:val="2"/>
        </w:numPr>
        <w:snapToGrid w:val="0"/>
        <w:spacing w:line="360" w:lineRule="auto"/>
        <w:ind w:firstLine="422" w:firstLineChars="200"/>
        <w:contextualSpacing/>
        <w:rPr>
          <w:rFonts w:hint="eastAsia" w:asciiTheme="minorEastAsia" w:hAnsiTheme="minorEastAsia" w:eastAsiaTheme="minorEastAsia" w:cstheme="minorEastAsia"/>
          <w:b/>
          <w:bCs/>
          <w:sz w:val="21"/>
          <w:szCs w:val="21"/>
          <w:lang w:val="en-US" w:eastAsia="zh-CN"/>
        </w:rPr>
      </w:pPr>
      <w:r>
        <w:rPr>
          <w:rFonts w:hint="eastAsia" w:asciiTheme="minorEastAsia" w:hAnsiTheme="minorEastAsia" w:eastAsiaTheme="minorEastAsia" w:cstheme="minorEastAsia"/>
          <w:b/>
          <w:bCs/>
          <w:sz w:val="21"/>
          <w:szCs w:val="21"/>
          <w:lang w:eastAsia="zh-CN"/>
        </w:rPr>
        <w:t>【</w:t>
      </w:r>
      <w:r>
        <w:rPr>
          <w:rFonts w:hint="eastAsia" w:asciiTheme="minorEastAsia" w:hAnsiTheme="minorEastAsia" w:eastAsiaTheme="minorEastAsia" w:cstheme="minorEastAsia"/>
          <w:b/>
          <w:bCs/>
          <w:sz w:val="21"/>
          <w:szCs w:val="21"/>
          <w:lang w:val="en-US" w:eastAsia="zh-CN"/>
        </w:rPr>
        <w:t>结交人脉</w:t>
      </w:r>
      <w:r>
        <w:rPr>
          <w:rFonts w:hint="eastAsia" w:asciiTheme="minorEastAsia" w:hAnsiTheme="minorEastAsia" w:eastAsiaTheme="minorEastAsia" w:cstheme="minorEastAsia"/>
          <w:b/>
          <w:bCs/>
          <w:sz w:val="21"/>
          <w:szCs w:val="21"/>
          <w:lang w:eastAsia="zh-CN"/>
        </w:rPr>
        <w:t>】</w:t>
      </w:r>
      <w:r>
        <w:rPr>
          <w:rFonts w:hint="eastAsia" w:asciiTheme="minorEastAsia" w:hAnsiTheme="minorEastAsia" w:eastAsiaTheme="minorEastAsia" w:cstheme="minorEastAsia"/>
          <w:color w:val="000000" w:themeColor="text1"/>
          <w:sz w:val="21"/>
          <w:szCs w:val="21"/>
          <w:lang w:val="en-US" w:eastAsia="zh-CN"/>
          <w14:textFill>
            <w14:solidFill>
              <w14:schemeClr w14:val="tx1"/>
            </w14:solidFill>
          </w14:textFill>
        </w:rPr>
        <w:t>可享受与在校生同等的电子数据资源，获得校友人脉资源，结交高端人脉。</w:t>
      </w:r>
    </w:p>
    <w:p w14:paraId="66D0BE8A">
      <w:pPr>
        <w:pStyle w:val="5"/>
        <w:numPr>
          <w:ilvl w:val="0"/>
          <w:numId w:val="0"/>
        </w:numPr>
        <w:snapToGrid w:val="0"/>
        <w:spacing w:line="360" w:lineRule="auto"/>
        <w:contextualSpacing/>
        <w:rPr>
          <w:rFonts w:hint="eastAsia" w:asciiTheme="minorEastAsia" w:hAnsiTheme="minorEastAsia" w:eastAsiaTheme="minorEastAsia" w:cstheme="minorEastAsia"/>
          <w:b/>
          <w:bCs/>
          <w:sz w:val="21"/>
          <w:szCs w:val="21"/>
          <w:lang w:val="en-US" w:eastAsia="zh-CN"/>
        </w:rPr>
      </w:pPr>
    </w:p>
    <w:p w14:paraId="79C32D26">
      <w:pPr>
        <w:pStyle w:val="5"/>
        <w:numPr>
          <w:ilvl w:val="0"/>
          <w:numId w:val="1"/>
        </w:numPr>
        <w:snapToGrid w:val="0"/>
        <w:spacing w:line="360" w:lineRule="auto"/>
        <w:contextualSpacing/>
        <w:rPr>
          <w:rFonts w:hint="default" w:asciiTheme="minorEastAsia" w:hAnsiTheme="minorEastAsia" w:eastAsiaTheme="minorEastAsia"/>
          <w:b/>
          <w:bCs/>
          <w:sz w:val="24"/>
          <w:szCs w:val="24"/>
          <w:lang w:val="en-US" w:eastAsia="zh-CN"/>
        </w:rPr>
      </w:pPr>
      <w:r>
        <w:rPr>
          <w:rFonts w:hint="eastAsia" w:asciiTheme="minorEastAsia" w:hAnsiTheme="minorEastAsia" w:eastAsiaTheme="minorEastAsia"/>
          <w:b/>
          <w:bCs/>
          <w:sz w:val="24"/>
          <w:szCs w:val="24"/>
          <w:lang w:val="en-US" w:eastAsia="zh-CN"/>
        </w:rPr>
        <w:t>课程设置：</w:t>
      </w:r>
    </w:p>
    <w:tbl>
      <w:tblPr>
        <w:tblStyle w:val="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809"/>
        <w:gridCol w:w="3402"/>
        <w:gridCol w:w="3311"/>
      </w:tblGrid>
      <w:tr w14:paraId="50F3C2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8522" w:type="dxa"/>
            <w:gridSpan w:val="3"/>
          </w:tcPr>
          <w:p w14:paraId="2B37CC14">
            <w:pPr>
              <w:keepNext w:val="0"/>
              <w:keepLines w:val="0"/>
              <w:pageBreakBefore w:val="0"/>
              <w:kinsoku/>
              <w:wordWrap/>
              <w:overflowPunct/>
              <w:topLinePunct w:val="0"/>
              <w:autoSpaceDE/>
              <w:autoSpaceDN/>
              <w:bidi w:val="0"/>
              <w:adjustRightInd/>
              <w:spacing w:beforeAutospacing="0" w:afterAutospacing="0" w:line="360" w:lineRule="auto"/>
              <w:contextualSpacing/>
              <w:jc w:val="center"/>
              <w:textAlignment w:val="auto"/>
              <w:rPr>
                <w:rFonts w:hint="eastAsia" w:asciiTheme="minorEastAsia" w:hAnsiTheme="minorEastAsia" w:eastAsiaTheme="minorEastAsia" w:cstheme="minorEastAsia"/>
                <w:b/>
                <w:sz w:val="21"/>
                <w:szCs w:val="21"/>
              </w:rPr>
            </w:pPr>
            <w:r>
              <w:rPr>
                <w:rFonts w:hint="eastAsia" w:asciiTheme="minorEastAsia" w:hAnsiTheme="minorEastAsia" w:cstheme="minorEastAsia"/>
                <w:b/>
                <w:sz w:val="21"/>
                <w:szCs w:val="21"/>
                <w:lang w:val="en-US" w:eastAsia="zh-CN"/>
              </w:rPr>
              <w:t>刑法</w:t>
            </w:r>
            <w:r>
              <w:rPr>
                <w:rFonts w:hint="eastAsia" w:asciiTheme="minorEastAsia" w:hAnsiTheme="minorEastAsia" w:eastAsiaTheme="minorEastAsia" w:cstheme="minorEastAsia"/>
                <w:b/>
                <w:sz w:val="21"/>
                <w:szCs w:val="21"/>
              </w:rPr>
              <w:t>专业课程</w:t>
            </w:r>
          </w:p>
        </w:tc>
      </w:tr>
      <w:tr w14:paraId="37F84C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809" w:type="dxa"/>
            <w:vMerge w:val="restart"/>
            <w:vAlign w:val="center"/>
          </w:tcPr>
          <w:p w14:paraId="41FAB501">
            <w:pPr>
              <w:keepNext w:val="0"/>
              <w:keepLines w:val="0"/>
              <w:pageBreakBefore w:val="0"/>
              <w:kinsoku/>
              <w:wordWrap/>
              <w:overflowPunct/>
              <w:topLinePunct w:val="0"/>
              <w:autoSpaceDE/>
              <w:autoSpaceDN/>
              <w:bidi w:val="0"/>
              <w:adjustRightInd/>
              <w:spacing w:beforeAutospacing="0" w:afterAutospacing="0" w:line="360" w:lineRule="auto"/>
              <w:ind w:firstLine="422" w:firstLineChars="200"/>
              <w:contextualSpacing/>
              <w:jc w:val="both"/>
              <w:textAlignment w:val="auto"/>
              <w:rPr>
                <w:rFonts w:hint="default" w:asciiTheme="minorEastAsia" w:hAnsiTheme="minorEastAsia" w:eastAsiaTheme="minorEastAsia" w:cstheme="minorEastAsia"/>
                <w:sz w:val="21"/>
                <w:szCs w:val="21"/>
                <w:lang w:val="en-US" w:eastAsia="zh-CN"/>
              </w:rPr>
            </w:pPr>
            <w:r>
              <w:rPr>
                <w:rFonts w:hint="eastAsia" w:asciiTheme="minorEastAsia" w:hAnsiTheme="minorEastAsia" w:cstheme="minorEastAsia"/>
                <w:b/>
                <w:bCs/>
                <w:sz w:val="21"/>
                <w:szCs w:val="21"/>
                <w:lang w:val="en-US" w:eastAsia="zh-CN"/>
              </w:rPr>
              <w:t>学位课</w:t>
            </w:r>
          </w:p>
        </w:tc>
        <w:tc>
          <w:tcPr>
            <w:tcW w:w="3402" w:type="dxa"/>
          </w:tcPr>
          <w:p w14:paraId="762BFF2A">
            <w:pPr>
              <w:keepNext w:val="0"/>
              <w:keepLines w:val="0"/>
              <w:pageBreakBefore w:val="0"/>
              <w:kinsoku/>
              <w:wordWrap/>
              <w:overflowPunct/>
              <w:topLinePunct w:val="0"/>
              <w:autoSpaceDE/>
              <w:autoSpaceDN/>
              <w:bidi w:val="0"/>
              <w:adjustRightInd/>
              <w:spacing w:beforeAutospacing="0" w:afterAutospacing="0" w:line="360" w:lineRule="auto"/>
              <w:contextualSpacing/>
              <w:jc w:val="center"/>
              <w:textAlignment w:val="auto"/>
              <w:rPr>
                <w:rFonts w:hint="default" w:asciiTheme="minorEastAsia" w:hAnsiTheme="minorEastAsia" w:eastAsiaTheme="minorEastAsia" w:cstheme="minorEastAsia"/>
                <w:sz w:val="21"/>
                <w:szCs w:val="21"/>
                <w:lang w:val="en-US" w:eastAsia="zh-CN"/>
              </w:rPr>
            </w:pPr>
            <w:r>
              <w:rPr>
                <w:rFonts w:hint="default" w:asciiTheme="minorEastAsia" w:hAnsiTheme="minorEastAsia" w:eastAsiaTheme="minorEastAsia" w:cstheme="minorEastAsia"/>
                <w:sz w:val="21"/>
                <w:szCs w:val="21"/>
                <w:lang w:val="en-US" w:eastAsia="zh-CN"/>
              </w:rPr>
              <w:t>中国特色社会主义理论与实践</w:t>
            </w:r>
          </w:p>
        </w:tc>
        <w:tc>
          <w:tcPr>
            <w:tcW w:w="3311" w:type="dxa"/>
          </w:tcPr>
          <w:p w14:paraId="36A46CC2">
            <w:pPr>
              <w:keepNext w:val="0"/>
              <w:keepLines w:val="0"/>
              <w:pageBreakBefore w:val="0"/>
              <w:kinsoku/>
              <w:wordWrap/>
              <w:overflowPunct/>
              <w:topLinePunct w:val="0"/>
              <w:autoSpaceDE/>
              <w:autoSpaceDN/>
              <w:bidi w:val="0"/>
              <w:adjustRightInd/>
              <w:spacing w:beforeAutospacing="0" w:afterAutospacing="0" w:line="360" w:lineRule="auto"/>
              <w:contextualSpacing/>
              <w:jc w:val="center"/>
              <w:textAlignment w:val="auto"/>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英语</w:t>
            </w:r>
          </w:p>
        </w:tc>
      </w:tr>
      <w:tr w14:paraId="65515D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809" w:type="dxa"/>
            <w:vMerge w:val="continue"/>
          </w:tcPr>
          <w:p w14:paraId="61CD65B1">
            <w:pPr>
              <w:keepNext w:val="0"/>
              <w:keepLines w:val="0"/>
              <w:pageBreakBefore w:val="0"/>
              <w:kinsoku/>
              <w:wordWrap/>
              <w:overflowPunct/>
              <w:topLinePunct w:val="0"/>
              <w:autoSpaceDE/>
              <w:autoSpaceDN/>
              <w:bidi w:val="0"/>
              <w:adjustRightInd/>
              <w:spacing w:beforeAutospacing="0" w:afterAutospacing="0" w:line="360" w:lineRule="auto"/>
              <w:contextualSpacing/>
              <w:jc w:val="center"/>
              <w:textAlignment w:val="auto"/>
              <w:rPr>
                <w:rFonts w:hint="eastAsia" w:asciiTheme="minorEastAsia" w:hAnsiTheme="minorEastAsia" w:cstheme="minorEastAsia"/>
                <w:sz w:val="21"/>
                <w:szCs w:val="21"/>
                <w:lang w:val="en-US" w:eastAsia="zh-CN"/>
              </w:rPr>
            </w:pPr>
          </w:p>
        </w:tc>
        <w:tc>
          <w:tcPr>
            <w:tcW w:w="3402" w:type="dxa"/>
          </w:tcPr>
          <w:p w14:paraId="62275706">
            <w:pPr>
              <w:keepNext w:val="0"/>
              <w:keepLines w:val="0"/>
              <w:pageBreakBefore w:val="0"/>
              <w:kinsoku/>
              <w:wordWrap/>
              <w:overflowPunct/>
              <w:topLinePunct w:val="0"/>
              <w:autoSpaceDE/>
              <w:autoSpaceDN/>
              <w:bidi w:val="0"/>
              <w:adjustRightInd/>
              <w:spacing w:beforeAutospacing="0" w:afterAutospacing="0" w:line="360" w:lineRule="auto"/>
              <w:contextualSpacing/>
              <w:jc w:val="center"/>
              <w:textAlignment w:val="auto"/>
              <w:rPr>
                <w:rFonts w:hint="default" w:asciiTheme="minorEastAsia" w:hAnsiTheme="minorEastAsia" w:eastAsiaTheme="minorEastAsia" w:cstheme="minorEastAsia"/>
                <w:sz w:val="21"/>
                <w:szCs w:val="21"/>
                <w:lang w:val="en-US" w:eastAsia="zh-CN"/>
              </w:rPr>
            </w:pPr>
            <w:r>
              <w:rPr>
                <w:rFonts w:hint="default" w:asciiTheme="minorEastAsia" w:hAnsiTheme="minorEastAsia" w:eastAsiaTheme="minorEastAsia" w:cstheme="minorEastAsia"/>
                <w:sz w:val="21"/>
                <w:szCs w:val="21"/>
                <w:lang w:val="en-US" w:eastAsia="zh-CN"/>
              </w:rPr>
              <w:t>马克思主义与社会科学方法论</w:t>
            </w:r>
          </w:p>
        </w:tc>
        <w:tc>
          <w:tcPr>
            <w:tcW w:w="3311" w:type="dxa"/>
          </w:tcPr>
          <w:p w14:paraId="6645B027">
            <w:pPr>
              <w:keepNext w:val="0"/>
              <w:keepLines w:val="0"/>
              <w:pageBreakBefore w:val="0"/>
              <w:kinsoku/>
              <w:wordWrap/>
              <w:overflowPunct/>
              <w:topLinePunct w:val="0"/>
              <w:autoSpaceDE/>
              <w:autoSpaceDN/>
              <w:bidi w:val="0"/>
              <w:adjustRightInd/>
              <w:spacing w:beforeAutospacing="0" w:afterAutospacing="0" w:line="360" w:lineRule="auto"/>
              <w:contextualSpacing/>
              <w:jc w:val="center"/>
              <w:textAlignment w:val="auto"/>
              <w:rPr>
                <w:rFonts w:hint="default" w:asciiTheme="minorEastAsia" w:hAnsiTheme="minorEastAsia" w:eastAsiaTheme="minorEastAsia" w:cstheme="minorEastAsia"/>
                <w:sz w:val="21"/>
                <w:szCs w:val="21"/>
                <w:lang w:val="en-US" w:eastAsia="zh-CN"/>
              </w:rPr>
            </w:pPr>
            <w:r>
              <w:rPr>
                <w:rFonts w:hint="eastAsia" w:asciiTheme="minorEastAsia" w:hAnsiTheme="minorEastAsia" w:cstheme="minorEastAsia"/>
                <w:sz w:val="21"/>
                <w:szCs w:val="21"/>
                <w:lang w:val="en-US" w:eastAsia="zh-CN"/>
              </w:rPr>
              <w:t>民法总论专题</w:t>
            </w:r>
          </w:p>
        </w:tc>
      </w:tr>
      <w:tr w14:paraId="0B0D66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809" w:type="dxa"/>
            <w:vMerge w:val="restart"/>
            <w:vAlign w:val="center"/>
          </w:tcPr>
          <w:p w14:paraId="18B14480">
            <w:pPr>
              <w:keepNext w:val="0"/>
              <w:keepLines w:val="0"/>
              <w:pageBreakBefore w:val="0"/>
              <w:kinsoku/>
              <w:wordWrap/>
              <w:overflowPunct/>
              <w:topLinePunct w:val="0"/>
              <w:autoSpaceDE/>
              <w:autoSpaceDN/>
              <w:bidi w:val="0"/>
              <w:adjustRightInd/>
              <w:spacing w:beforeAutospacing="0" w:afterAutospacing="0" w:line="360" w:lineRule="auto"/>
              <w:contextualSpacing/>
              <w:jc w:val="center"/>
              <w:textAlignment w:val="auto"/>
              <w:rPr>
                <w:rFonts w:hint="default" w:asciiTheme="minorEastAsia" w:hAnsiTheme="minorEastAsia" w:cstheme="minorEastAsia"/>
                <w:sz w:val="21"/>
                <w:szCs w:val="21"/>
                <w:lang w:val="en-US" w:eastAsia="zh-CN"/>
              </w:rPr>
            </w:pPr>
            <w:r>
              <w:rPr>
                <w:rFonts w:hint="eastAsia" w:asciiTheme="minorEastAsia" w:hAnsiTheme="minorEastAsia" w:cstheme="minorEastAsia"/>
                <w:b/>
                <w:bCs/>
                <w:sz w:val="21"/>
                <w:szCs w:val="21"/>
                <w:lang w:val="en-US" w:eastAsia="zh-CN"/>
              </w:rPr>
              <w:t>必修课</w:t>
            </w:r>
          </w:p>
        </w:tc>
        <w:tc>
          <w:tcPr>
            <w:tcW w:w="3402" w:type="dxa"/>
          </w:tcPr>
          <w:p w14:paraId="3B969E8C">
            <w:pPr>
              <w:keepNext w:val="0"/>
              <w:keepLines w:val="0"/>
              <w:pageBreakBefore w:val="0"/>
              <w:kinsoku/>
              <w:wordWrap/>
              <w:overflowPunct/>
              <w:topLinePunct w:val="0"/>
              <w:autoSpaceDE/>
              <w:autoSpaceDN/>
              <w:bidi w:val="0"/>
              <w:adjustRightInd/>
              <w:spacing w:beforeAutospacing="0" w:afterAutospacing="0" w:line="360" w:lineRule="auto"/>
              <w:contextualSpacing/>
              <w:jc w:val="center"/>
              <w:textAlignment w:val="auto"/>
              <w:rPr>
                <w:rFonts w:hint="default" w:asciiTheme="minorEastAsia" w:hAnsiTheme="minorEastAsia" w:eastAsiaTheme="minorEastAsia" w:cstheme="minorEastAsia"/>
                <w:sz w:val="21"/>
                <w:szCs w:val="21"/>
                <w:lang w:val="en-US" w:eastAsia="zh-CN"/>
              </w:rPr>
            </w:pPr>
            <w:r>
              <w:rPr>
                <w:rFonts w:hint="default" w:asciiTheme="minorEastAsia" w:hAnsiTheme="minorEastAsia" w:eastAsiaTheme="minorEastAsia" w:cstheme="minorEastAsia"/>
                <w:sz w:val="21"/>
                <w:szCs w:val="21"/>
                <w:lang w:val="en-US" w:eastAsia="zh-CN"/>
              </w:rPr>
              <w:t>法理学</w:t>
            </w:r>
          </w:p>
        </w:tc>
        <w:tc>
          <w:tcPr>
            <w:tcW w:w="3311" w:type="dxa"/>
          </w:tcPr>
          <w:p w14:paraId="2F309F4D">
            <w:pPr>
              <w:keepNext w:val="0"/>
              <w:keepLines w:val="0"/>
              <w:pageBreakBefore w:val="0"/>
              <w:kinsoku/>
              <w:wordWrap/>
              <w:overflowPunct/>
              <w:topLinePunct w:val="0"/>
              <w:autoSpaceDE/>
              <w:autoSpaceDN/>
              <w:bidi w:val="0"/>
              <w:adjustRightInd/>
              <w:spacing w:beforeAutospacing="0" w:afterAutospacing="0" w:line="360" w:lineRule="auto"/>
              <w:contextualSpacing/>
              <w:jc w:val="center"/>
              <w:textAlignment w:val="auto"/>
              <w:rPr>
                <w:rFonts w:hint="default" w:asciiTheme="minorEastAsia" w:hAnsiTheme="minorEastAsia" w:eastAsiaTheme="minorEastAsia" w:cstheme="minorEastAsia"/>
                <w:sz w:val="21"/>
                <w:szCs w:val="21"/>
                <w:lang w:val="en-US" w:eastAsia="zh-CN"/>
              </w:rPr>
            </w:pPr>
            <w:r>
              <w:rPr>
                <w:rFonts w:hint="default" w:asciiTheme="minorEastAsia" w:hAnsiTheme="minorEastAsia" w:eastAsiaTheme="minorEastAsia" w:cstheme="minorEastAsia"/>
                <w:sz w:val="21"/>
                <w:szCs w:val="21"/>
                <w:lang w:val="en-US" w:eastAsia="zh-CN"/>
              </w:rPr>
              <w:t>刑法学原理</w:t>
            </w:r>
          </w:p>
        </w:tc>
      </w:tr>
      <w:tr w14:paraId="659617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809" w:type="dxa"/>
            <w:vMerge w:val="continue"/>
          </w:tcPr>
          <w:p w14:paraId="14E89ADF">
            <w:pPr>
              <w:keepNext w:val="0"/>
              <w:keepLines w:val="0"/>
              <w:pageBreakBefore w:val="0"/>
              <w:kinsoku/>
              <w:wordWrap/>
              <w:overflowPunct/>
              <w:topLinePunct w:val="0"/>
              <w:autoSpaceDE/>
              <w:autoSpaceDN/>
              <w:bidi w:val="0"/>
              <w:adjustRightInd/>
              <w:spacing w:beforeAutospacing="0" w:afterAutospacing="0" w:line="360" w:lineRule="auto"/>
              <w:contextualSpacing/>
              <w:jc w:val="center"/>
              <w:textAlignment w:val="auto"/>
              <w:rPr>
                <w:rFonts w:hint="eastAsia" w:asciiTheme="minorEastAsia" w:hAnsiTheme="minorEastAsia" w:cstheme="minorEastAsia"/>
                <w:sz w:val="21"/>
                <w:szCs w:val="21"/>
                <w:lang w:val="en-US" w:eastAsia="zh-CN"/>
              </w:rPr>
            </w:pPr>
          </w:p>
        </w:tc>
        <w:tc>
          <w:tcPr>
            <w:tcW w:w="3402" w:type="dxa"/>
          </w:tcPr>
          <w:p w14:paraId="055E58E3">
            <w:pPr>
              <w:keepNext w:val="0"/>
              <w:keepLines w:val="0"/>
              <w:pageBreakBefore w:val="0"/>
              <w:kinsoku/>
              <w:wordWrap/>
              <w:overflowPunct/>
              <w:topLinePunct w:val="0"/>
              <w:autoSpaceDE/>
              <w:autoSpaceDN/>
              <w:bidi w:val="0"/>
              <w:adjustRightInd/>
              <w:spacing w:beforeAutospacing="0" w:afterAutospacing="0" w:line="360" w:lineRule="auto"/>
              <w:contextualSpacing/>
              <w:jc w:val="center"/>
              <w:textAlignment w:val="auto"/>
              <w:rPr>
                <w:rFonts w:hint="default" w:asciiTheme="minorEastAsia" w:hAnsiTheme="minorEastAsia" w:eastAsiaTheme="minorEastAsia" w:cstheme="minorEastAsia"/>
                <w:sz w:val="21"/>
                <w:szCs w:val="21"/>
                <w:lang w:val="en-US" w:eastAsia="zh-CN"/>
              </w:rPr>
            </w:pPr>
            <w:r>
              <w:rPr>
                <w:rFonts w:hint="default" w:asciiTheme="minorEastAsia" w:hAnsiTheme="minorEastAsia" w:eastAsiaTheme="minorEastAsia" w:cstheme="minorEastAsia"/>
                <w:sz w:val="21"/>
                <w:szCs w:val="21"/>
                <w:lang w:val="en-US" w:eastAsia="zh-CN"/>
              </w:rPr>
              <w:t>法学前沿专题</w:t>
            </w:r>
          </w:p>
        </w:tc>
        <w:tc>
          <w:tcPr>
            <w:tcW w:w="3311" w:type="dxa"/>
          </w:tcPr>
          <w:p w14:paraId="24B0CF41">
            <w:pPr>
              <w:keepNext w:val="0"/>
              <w:keepLines w:val="0"/>
              <w:pageBreakBefore w:val="0"/>
              <w:kinsoku/>
              <w:wordWrap/>
              <w:overflowPunct/>
              <w:topLinePunct w:val="0"/>
              <w:autoSpaceDE/>
              <w:autoSpaceDN/>
              <w:bidi w:val="0"/>
              <w:adjustRightInd/>
              <w:spacing w:beforeAutospacing="0" w:afterAutospacing="0" w:line="360" w:lineRule="auto"/>
              <w:contextualSpacing/>
              <w:jc w:val="center"/>
              <w:textAlignment w:val="auto"/>
              <w:rPr>
                <w:rFonts w:hint="default" w:asciiTheme="minorEastAsia" w:hAnsiTheme="minorEastAsia" w:eastAsiaTheme="minorEastAsia" w:cstheme="minorEastAsia"/>
                <w:sz w:val="21"/>
                <w:szCs w:val="21"/>
                <w:lang w:val="en-US" w:eastAsia="zh-CN"/>
              </w:rPr>
            </w:pPr>
            <w:r>
              <w:rPr>
                <w:rFonts w:hint="default" w:asciiTheme="minorEastAsia" w:hAnsiTheme="minorEastAsia" w:eastAsiaTheme="minorEastAsia" w:cstheme="minorEastAsia"/>
                <w:sz w:val="21"/>
                <w:szCs w:val="21"/>
                <w:lang w:val="en-US" w:eastAsia="zh-CN"/>
              </w:rPr>
              <w:t>罪刑各论</w:t>
            </w:r>
          </w:p>
        </w:tc>
      </w:tr>
      <w:tr w14:paraId="5BF88C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809" w:type="dxa"/>
            <w:vMerge w:val="continue"/>
          </w:tcPr>
          <w:p w14:paraId="57CCB175">
            <w:pPr>
              <w:keepNext w:val="0"/>
              <w:keepLines w:val="0"/>
              <w:pageBreakBefore w:val="0"/>
              <w:kinsoku/>
              <w:wordWrap/>
              <w:overflowPunct/>
              <w:topLinePunct w:val="0"/>
              <w:autoSpaceDE/>
              <w:autoSpaceDN/>
              <w:bidi w:val="0"/>
              <w:adjustRightInd/>
              <w:spacing w:beforeAutospacing="0" w:afterAutospacing="0" w:line="360" w:lineRule="auto"/>
              <w:contextualSpacing/>
              <w:jc w:val="center"/>
              <w:textAlignment w:val="auto"/>
              <w:rPr>
                <w:rFonts w:hint="eastAsia" w:asciiTheme="minorEastAsia" w:hAnsiTheme="minorEastAsia" w:cstheme="minorEastAsia"/>
                <w:sz w:val="21"/>
                <w:szCs w:val="21"/>
                <w:lang w:val="en-US" w:eastAsia="zh-CN"/>
              </w:rPr>
            </w:pPr>
          </w:p>
        </w:tc>
        <w:tc>
          <w:tcPr>
            <w:tcW w:w="3402" w:type="dxa"/>
          </w:tcPr>
          <w:p w14:paraId="1BF5BD27">
            <w:pPr>
              <w:keepNext w:val="0"/>
              <w:keepLines w:val="0"/>
              <w:pageBreakBefore w:val="0"/>
              <w:kinsoku/>
              <w:wordWrap/>
              <w:overflowPunct/>
              <w:topLinePunct w:val="0"/>
              <w:autoSpaceDE/>
              <w:autoSpaceDN/>
              <w:bidi w:val="0"/>
              <w:adjustRightInd/>
              <w:spacing w:beforeAutospacing="0" w:afterAutospacing="0" w:line="360" w:lineRule="auto"/>
              <w:contextualSpacing/>
              <w:jc w:val="center"/>
              <w:textAlignment w:val="auto"/>
              <w:rPr>
                <w:rFonts w:hint="default" w:asciiTheme="minorEastAsia" w:hAnsiTheme="minorEastAsia" w:eastAsiaTheme="minorEastAsia" w:cstheme="minorEastAsia"/>
                <w:sz w:val="21"/>
                <w:szCs w:val="21"/>
                <w:lang w:val="en-US" w:eastAsia="zh-CN"/>
              </w:rPr>
            </w:pPr>
            <w:r>
              <w:rPr>
                <w:rFonts w:hint="default" w:asciiTheme="minorEastAsia" w:hAnsiTheme="minorEastAsia" w:eastAsiaTheme="minorEastAsia" w:cstheme="minorEastAsia"/>
                <w:sz w:val="21"/>
                <w:szCs w:val="21"/>
                <w:lang w:val="en-US" w:eastAsia="zh-CN"/>
              </w:rPr>
              <w:t>外国刑法</w:t>
            </w:r>
          </w:p>
        </w:tc>
        <w:tc>
          <w:tcPr>
            <w:tcW w:w="3311" w:type="dxa"/>
          </w:tcPr>
          <w:p w14:paraId="43A49EBF">
            <w:pPr>
              <w:keepNext w:val="0"/>
              <w:keepLines w:val="0"/>
              <w:pageBreakBefore w:val="0"/>
              <w:kinsoku/>
              <w:wordWrap/>
              <w:overflowPunct/>
              <w:topLinePunct w:val="0"/>
              <w:autoSpaceDE/>
              <w:autoSpaceDN/>
              <w:bidi w:val="0"/>
              <w:adjustRightInd/>
              <w:spacing w:beforeAutospacing="0" w:afterAutospacing="0" w:line="360" w:lineRule="auto"/>
              <w:contextualSpacing/>
              <w:jc w:val="center"/>
              <w:textAlignment w:val="auto"/>
              <w:rPr>
                <w:rFonts w:hint="default" w:asciiTheme="minorEastAsia" w:hAnsiTheme="minorEastAsia" w:eastAsiaTheme="minorEastAsia" w:cstheme="minorEastAsia"/>
                <w:sz w:val="21"/>
                <w:szCs w:val="21"/>
                <w:lang w:val="en-US" w:eastAsia="zh-CN"/>
              </w:rPr>
            </w:pPr>
            <w:r>
              <w:rPr>
                <w:rFonts w:hint="default" w:asciiTheme="minorEastAsia" w:hAnsiTheme="minorEastAsia" w:eastAsiaTheme="minorEastAsia" w:cstheme="minorEastAsia"/>
                <w:sz w:val="21"/>
                <w:szCs w:val="21"/>
                <w:lang w:val="en-US" w:eastAsia="zh-CN"/>
              </w:rPr>
              <w:t>刑事法前沿</w:t>
            </w:r>
          </w:p>
        </w:tc>
      </w:tr>
      <w:tr w14:paraId="01D307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809" w:type="dxa"/>
            <w:vMerge w:val="continue"/>
          </w:tcPr>
          <w:p w14:paraId="54AFB1B9">
            <w:pPr>
              <w:keepNext w:val="0"/>
              <w:keepLines w:val="0"/>
              <w:pageBreakBefore w:val="0"/>
              <w:kinsoku/>
              <w:wordWrap/>
              <w:overflowPunct/>
              <w:topLinePunct w:val="0"/>
              <w:autoSpaceDE/>
              <w:autoSpaceDN/>
              <w:bidi w:val="0"/>
              <w:adjustRightInd/>
              <w:spacing w:beforeAutospacing="0" w:afterAutospacing="0" w:line="360" w:lineRule="auto"/>
              <w:contextualSpacing/>
              <w:jc w:val="center"/>
              <w:textAlignment w:val="auto"/>
              <w:rPr>
                <w:rFonts w:hint="eastAsia" w:asciiTheme="minorEastAsia" w:hAnsiTheme="minorEastAsia" w:cstheme="minorEastAsia"/>
                <w:sz w:val="21"/>
                <w:szCs w:val="21"/>
                <w:lang w:val="en-US" w:eastAsia="zh-CN"/>
              </w:rPr>
            </w:pPr>
          </w:p>
        </w:tc>
        <w:tc>
          <w:tcPr>
            <w:tcW w:w="3402" w:type="dxa"/>
          </w:tcPr>
          <w:p w14:paraId="6978CD17">
            <w:pPr>
              <w:keepNext w:val="0"/>
              <w:keepLines w:val="0"/>
              <w:pageBreakBefore w:val="0"/>
              <w:kinsoku/>
              <w:wordWrap/>
              <w:overflowPunct/>
              <w:topLinePunct w:val="0"/>
              <w:autoSpaceDE/>
              <w:autoSpaceDN/>
              <w:bidi w:val="0"/>
              <w:adjustRightInd/>
              <w:spacing w:beforeAutospacing="0" w:afterAutospacing="0" w:line="360" w:lineRule="auto"/>
              <w:contextualSpacing/>
              <w:jc w:val="center"/>
              <w:textAlignment w:val="auto"/>
              <w:rPr>
                <w:rFonts w:hint="default" w:asciiTheme="minorEastAsia" w:hAnsiTheme="minorEastAsia" w:eastAsiaTheme="minorEastAsia" w:cstheme="minorEastAsia"/>
                <w:sz w:val="21"/>
                <w:szCs w:val="21"/>
                <w:lang w:val="en-US" w:eastAsia="zh-CN"/>
              </w:rPr>
            </w:pPr>
            <w:r>
              <w:rPr>
                <w:rFonts w:hint="default" w:asciiTheme="minorEastAsia" w:hAnsiTheme="minorEastAsia" w:eastAsiaTheme="minorEastAsia" w:cstheme="minorEastAsia"/>
                <w:sz w:val="21"/>
                <w:szCs w:val="21"/>
                <w:lang w:val="en-US" w:eastAsia="zh-CN"/>
              </w:rPr>
              <w:t>经济刑法专题</w:t>
            </w:r>
          </w:p>
        </w:tc>
        <w:tc>
          <w:tcPr>
            <w:tcW w:w="3311" w:type="dxa"/>
          </w:tcPr>
          <w:p w14:paraId="7719860C">
            <w:pPr>
              <w:keepNext w:val="0"/>
              <w:keepLines w:val="0"/>
              <w:pageBreakBefore w:val="0"/>
              <w:kinsoku/>
              <w:wordWrap/>
              <w:overflowPunct/>
              <w:topLinePunct w:val="0"/>
              <w:autoSpaceDE/>
              <w:autoSpaceDN/>
              <w:bidi w:val="0"/>
              <w:adjustRightInd/>
              <w:spacing w:beforeAutospacing="0" w:afterAutospacing="0" w:line="360" w:lineRule="auto"/>
              <w:contextualSpacing/>
              <w:jc w:val="center"/>
              <w:textAlignment w:val="auto"/>
              <w:rPr>
                <w:rFonts w:hint="default" w:asciiTheme="minorEastAsia" w:hAnsiTheme="minorEastAsia" w:eastAsiaTheme="minorEastAsia" w:cstheme="minorEastAsia"/>
                <w:sz w:val="21"/>
                <w:szCs w:val="21"/>
                <w:lang w:val="en-US" w:eastAsia="zh-CN"/>
              </w:rPr>
            </w:pPr>
            <w:r>
              <w:rPr>
                <w:rFonts w:hint="default" w:asciiTheme="minorEastAsia" w:hAnsiTheme="minorEastAsia" w:eastAsiaTheme="minorEastAsia" w:cstheme="minorEastAsia"/>
                <w:sz w:val="21"/>
                <w:szCs w:val="21"/>
                <w:lang w:val="en-US" w:eastAsia="zh-CN"/>
              </w:rPr>
              <w:t>犯罪学与刑事政策学</w:t>
            </w:r>
          </w:p>
        </w:tc>
      </w:tr>
      <w:tr w14:paraId="3BE672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809" w:type="dxa"/>
            <w:vMerge w:val="continue"/>
          </w:tcPr>
          <w:p w14:paraId="024D03EB">
            <w:pPr>
              <w:keepNext w:val="0"/>
              <w:keepLines w:val="0"/>
              <w:pageBreakBefore w:val="0"/>
              <w:kinsoku/>
              <w:wordWrap/>
              <w:overflowPunct/>
              <w:topLinePunct w:val="0"/>
              <w:autoSpaceDE/>
              <w:autoSpaceDN/>
              <w:bidi w:val="0"/>
              <w:adjustRightInd/>
              <w:spacing w:beforeAutospacing="0" w:afterAutospacing="0" w:line="360" w:lineRule="auto"/>
              <w:contextualSpacing/>
              <w:jc w:val="center"/>
              <w:textAlignment w:val="auto"/>
              <w:rPr>
                <w:rFonts w:hint="eastAsia" w:asciiTheme="minorEastAsia" w:hAnsiTheme="minorEastAsia" w:cstheme="minorEastAsia"/>
                <w:sz w:val="21"/>
                <w:szCs w:val="21"/>
                <w:lang w:val="en-US" w:eastAsia="zh-CN"/>
              </w:rPr>
            </w:pPr>
          </w:p>
        </w:tc>
        <w:tc>
          <w:tcPr>
            <w:tcW w:w="3402" w:type="dxa"/>
          </w:tcPr>
          <w:p w14:paraId="2E49952C">
            <w:pPr>
              <w:keepNext w:val="0"/>
              <w:keepLines w:val="0"/>
              <w:pageBreakBefore w:val="0"/>
              <w:kinsoku/>
              <w:wordWrap/>
              <w:overflowPunct/>
              <w:topLinePunct w:val="0"/>
              <w:autoSpaceDE/>
              <w:autoSpaceDN/>
              <w:bidi w:val="0"/>
              <w:adjustRightInd/>
              <w:spacing w:beforeAutospacing="0" w:afterAutospacing="0" w:line="360" w:lineRule="auto"/>
              <w:contextualSpacing/>
              <w:jc w:val="center"/>
              <w:textAlignment w:val="auto"/>
              <w:rPr>
                <w:rFonts w:hint="default" w:asciiTheme="minorEastAsia" w:hAnsiTheme="minorEastAsia" w:eastAsiaTheme="minorEastAsia" w:cstheme="minorEastAsia"/>
                <w:sz w:val="21"/>
                <w:szCs w:val="21"/>
                <w:lang w:val="en-US" w:eastAsia="zh-CN"/>
              </w:rPr>
            </w:pPr>
            <w:r>
              <w:rPr>
                <w:rFonts w:hint="default" w:asciiTheme="minorEastAsia" w:hAnsiTheme="minorEastAsia" w:eastAsiaTheme="minorEastAsia" w:cstheme="minorEastAsia"/>
                <w:sz w:val="21"/>
                <w:szCs w:val="21"/>
                <w:lang w:val="en-US" w:eastAsia="zh-CN"/>
              </w:rPr>
              <w:t>刑事诉讼法专题</w:t>
            </w:r>
          </w:p>
        </w:tc>
        <w:tc>
          <w:tcPr>
            <w:tcW w:w="3311" w:type="dxa"/>
          </w:tcPr>
          <w:p w14:paraId="13E81E46">
            <w:pPr>
              <w:keepNext w:val="0"/>
              <w:keepLines w:val="0"/>
              <w:pageBreakBefore w:val="0"/>
              <w:kinsoku/>
              <w:wordWrap/>
              <w:overflowPunct/>
              <w:topLinePunct w:val="0"/>
              <w:autoSpaceDE/>
              <w:autoSpaceDN/>
              <w:bidi w:val="0"/>
              <w:adjustRightInd/>
              <w:spacing w:beforeAutospacing="0" w:afterAutospacing="0" w:line="360" w:lineRule="auto"/>
              <w:contextualSpacing/>
              <w:jc w:val="center"/>
              <w:textAlignment w:val="auto"/>
              <w:rPr>
                <w:rFonts w:hint="default" w:asciiTheme="minorEastAsia" w:hAnsiTheme="minorEastAsia" w:eastAsiaTheme="minorEastAsia" w:cstheme="minorEastAsia"/>
                <w:sz w:val="21"/>
                <w:szCs w:val="21"/>
                <w:lang w:val="en-US" w:eastAsia="zh-CN"/>
              </w:rPr>
            </w:pPr>
            <w:r>
              <w:rPr>
                <w:rFonts w:hint="default" w:asciiTheme="minorEastAsia" w:hAnsiTheme="minorEastAsia" w:eastAsiaTheme="minorEastAsia" w:cstheme="minorEastAsia"/>
                <w:sz w:val="21"/>
                <w:szCs w:val="21"/>
                <w:lang w:val="en-US" w:eastAsia="zh-CN"/>
              </w:rPr>
              <w:t>国际刑法专题</w:t>
            </w:r>
          </w:p>
        </w:tc>
      </w:tr>
      <w:tr w14:paraId="53CD11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809" w:type="dxa"/>
            <w:vMerge w:val="restart"/>
            <w:vAlign w:val="center"/>
          </w:tcPr>
          <w:p w14:paraId="278ED292">
            <w:pPr>
              <w:keepNext w:val="0"/>
              <w:keepLines w:val="0"/>
              <w:pageBreakBefore w:val="0"/>
              <w:kinsoku/>
              <w:wordWrap/>
              <w:overflowPunct/>
              <w:topLinePunct w:val="0"/>
              <w:autoSpaceDE/>
              <w:autoSpaceDN/>
              <w:bidi w:val="0"/>
              <w:adjustRightInd/>
              <w:spacing w:beforeAutospacing="0" w:afterAutospacing="0" w:line="360" w:lineRule="auto"/>
              <w:ind w:firstLine="422" w:firstLineChars="200"/>
              <w:contextualSpacing/>
              <w:jc w:val="both"/>
              <w:textAlignment w:val="auto"/>
              <w:rPr>
                <w:rFonts w:hint="default" w:asciiTheme="minorEastAsia" w:hAnsiTheme="minorEastAsia" w:cstheme="minorEastAsia"/>
                <w:sz w:val="21"/>
                <w:szCs w:val="21"/>
                <w:lang w:val="en-US" w:eastAsia="zh-CN"/>
              </w:rPr>
            </w:pPr>
            <w:r>
              <w:rPr>
                <w:rFonts w:hint="eastAsia" w:asciiTheme="minorEastAsia" w:hAnsiTheme="minorEastAsia" w:cstheme="minorEastAsia"/>
                <w:b/>
                <w:bCs/>
                <w:sz w:val="21"/>
                <w:szCs w:val="21"/>
                <w:lang w:val="en-US" w:eastAsia="zh-CN"/>
              </w:rPr>
              <w:t>选修课</w:t>
            </w:r>
          </w:p>
        </w:tc>
        <w:tc>
          <w:tcPr>
            <w:tcW w:w="3402" w:type="dxa"/>
          </w:tcPr>
          <w:p w14:paraId="5AFE0F37">
            <w:pPr>
              <w:keepNext w:val="0"/>
              <w:keepLines w:val="0"/>
              <w:pageBreakBefore w:val="0"/>
              <w:kinsoku/>
              <w:wordWrap/>
              <w:overflowPunct/>
              <w:topLinePunct w:val="0"/>
              <w:autoSpaceDE/>
              <w:autoSpaceDN/>
              <w:bidi w:val="0"/>
              <w:adjustRightInd/>
              <w:spacing w:beforeAutospacing="0" w:afterAutospacing="0" w:line="360" w:lineRule="auto"/>
              <w:contextualSpacing/>
              <w:jc w:val="center"/>
              <w:textAlignment w:val="auto"/>
              <w:rPr>
                <w:rFonts w:hint="default" w:asciiTheme="minorEastAsia" w:hAnsiTheme="minorEastAsia" w:eastAsiaTheme="minorEastAsia" w:cstheme="minorEastAsia"/>
                <w:sz w:val="21"/>
                <w:szCs w:val="21"/>
                <w:lang w:val="en-US" w:eastAsia="zh-CN"/>
              </w:rPr>
            </w:pPr>
            <w:r>
              <w:rPr>
                <w:rFonts w:hint="default" w:asciiTheme="minorEastAsia" w:hAnsiTheme="minorEastAsia" w:eastAsiaTheme="minorEastAsia" w:cstheme="minorEastAsia"/>
                <w:sz w:val="21"/>
                <w:szCs w:val="21"/>
                <w:lang w:val="en-US" w:eastAsia="zh-CN"/>
              </w:rPr>
              <w:t>刑事侦查专题</w:t>
            </w:r>
          </w:p>
        </w:tc>
        <w:tc>
          <w:tcPr>
            <w:tcW w:w="3311" w:type="dxa"/>
          </w:tcPr>
          <w:p w14:paraId="5F945007">
            <w:pPr>
              <w:keepNext w:val="0"/>
              <w:keepLines w:val="0"/>
              <w:pageBreakBefore w:val="0"/>
              <w:kinsoku/>
              <w:wordWrap/>
              <w:overflowPunct/>
              <w:topLinePunct w:val="0"/>
              <w:autoSpaceDE/>
              <w:autoSpaceDN/>
              <w:bidi w:val="0"/>
              <w:adjustRightInd/>
              <w:spacing w:beforeAutospacing="0" w:afterAutospacing="0" w:line="360" w:lineRule="auto"/>
              <w:contextualSpacing/>
              <w:jc w:val="center"/>
              <w:textAlignment w:val="auto"/>
              <w:rPr>
                <w:rFonts w:hint="default" w:asciiTheme="minorEastAsia" w:hAnsiTheme="minorEastAsia" w:eastAsiaTheme="minorEastAsia" w:cstheme="minorEastAsia"/>
                <w:sz w:val="21"/>
                <w:szCs w:val="21"/>
                <w:lang w:val="en-US" w:eastAsia="zh-CN"/>
              </w:rPr>
            </w:pPr>
            <w:r>
              <w:rPr>
                <w:rFonts w:hint="default" w:asciiTheme="minorEastAsia" w:hAnsiTheme="minorEastAsia" w:eastAsiaTheme="minorEastAsia" w:cstheme="minorEastAsia"/>
                <w:sz w:val="21"/>
                <w:szCs w:val="21"/>
                <w:lang w:val="en-US" w:eastAsia="zh-CN"/>
              </w:rPr>
              <w:t>刑事证据法</w:t>
            </w:r>
          </w:p>
        </w:tc>
      </w:tr>
      <w:tr w14:paraId="282732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809" w:type="dxa"/>
            <w:vMerge w:val="continue"/>
          </w:tcPr>
          <w:p w14:paraId="48FDC842">
            <w:pPr>
              <w:keepNext w:val="0"/>
              <w:keepLines w:val="0"/>
              <w:pageBreakBefore w:val="0"/>
              <w:kinsoku/>
              <w:wordWrap/>
              <w:overflowPunct/>
              <w:topLinePunct w:val="0"/>
              <w:autoSpaceDE/>
              <w:autoSpaceDN/>
              <w:bidi w:val="0"/>
              <w:adjustRightInd/>
              <w:spacing w:beforeAutospacing="0" w:afterAutospacing="0" w:line="360" w:lineRule="auto"/>
              <w:contextualSpacing/>
              <w:jc w:val="center"/>
              <w:textAlignment w:val="auto"/>
              <w:rPr>
                <w:rFonts w:hint="eastAsia" w:asciiTheme="minorEastAsia" w:hAnsiTheme="minorEastAsia" w:cstheme="minorEastAsia"/>
                <w:sz w:val="21"/>
                <w:szCs w:val="21"/>
                <w:lang w:val="en-US" w:eastAsia="zh-CN"/>
              </w:rPr>
            </w:pPr>
          </w:p>
        </w:tc>
        <w:tc>
          <w:tcPr>
            <w:tcW w:w="3402" w:type="dxa"/>
          </w:tcPr>
          <w:p w14:paraId="726701C6">
            <w:pPr>
              <w:keepNext w:val="0"/>
              <w:keepLines w:val="0"/>
              <w:pageBreakBefore w:val="0"/>
              <w:kinsoku/>
              <w:wordWrap/>
              <w:overflowPunct/>
              <w:topLinePunct w:val="0"/>
              <w:autoSpaceDE/>
              <w:autoSpaceDN/>
              <w:bidi w:val="0"/>
              <w:adjustRightInd/>
              <w:spacing w:beforeAutospacing="0" w:afterAutospacing="0" w:line="360" w:lineRule="auto"/>
              <w:contextualSpacing/>
              <w:jc w:val="center"/>
              <w:textAlignment w:val="auto"/>
              <w:rPr>
                <w:rFonts w:hint="default" w:asciiTheme="minorEastAsia" w:hAnsiTheme="minorEastAsia" w:eastAsiaTheme="minorEastAsia" w:cstheme="minorEastAsia"/>
                <w:sz w:val="21"/>
                <w:szCs w:val="21"/>
                <w:lang w:val="en-US" w:eastAsia="zh-CN"/>
              </w:rPr>
            </w:pPr>
            <w:r>
              <w:rPr>
                <w:rFonts w:hint="default" w:asciiTheme="minorEastAsia" w:hAnsiTheme="minorEastAsia" w:eastAsiaTheme="minorEastAsia" w:cstheme="minorEastAsia"/>
                <w:sz w:val="21"/>
                <w:szCs w:val="21"/>
                <w:lang w:val="en-US" w:eastAsia="zh-CN"/>
              </w:rPr>
              <w:t>法律思想史</w:t>
            </w:r>
          </w:p>
        </w:tc>
        <w:tc>
          <w:tcPr>
            <w:tcW w:w="3311" w:type="dxa"/>
          </w:tcPr>
          <w:p w14:paraId="46E76DE9">
            <w:pPr>
              <w:keepNext w:val="0"/>
              <w:keepLines w:val="0"/>
              <w:pageBreakBefore w:val="0"/>
              <w:kinsoku/>
              <w:wordWrap/>
              <w:overflowPunct/>
              <w:topLinePunct w:val="0"/>
              <w:autoSpaceDE/>
              <w:autoSpaceDN/>
              <w:bidi w:val="0"/>
              <w:adjustRightInd/>
              <w:spacing w:beforeAutospacing="0" w:afterAutospacing="0" w:line="360" w:lineRule="auto"/>
              <w:contextualSpacing/>
              <w:jc w:val="center"/>
              <w:textAlignment w:val="auto"/>
              <w:rPr>
                <w:rFonts w:hint="default" w:asciiTheme="minorEastAsia" w:hAnsiTheme="minorEastAsia" w:eastAsiaTheme="minorEastAsia" w:cstheme="minorEastAsia"/>
                <w:sz w:val="21"/>
                <w:szCs w:val="21"/>
                <w:lang w:val="en-US" w:eastAsia="zh-CN"/>
              </w:rPr>
            </w:pPr>
            <w:r>
              <w:rPr>
                <w:rFonts w:hint="default" w:asciiTheme="minorEastAsia" w:hAnsiTheme="minorEastAsia" w:eastAsiaTheme="minorEastAsia" w:cstheme="minorEastAsia"/>
                <w:sz w:val="21"/>
                <w:szCs w:val="21"/>
                <w:lang w:val="en-US" w:eastAsia="zh-CN"/>
              </w:rPr>
              <w:t>社会调查方法</w:t>
            </w:r>
          </w:p>
        </w:tc>
      </w:tr>
      <w:tr w14:paraId="4B5B76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809" w:type="dxa"/>
            <w:vMerge w:val="continue"/>
          </w:tcPr>
          <w:p w14:paraId="6F4113AC">
            <w:pPr>
              <w:keepNext w:val="0"/>
              <w:keepLines w:val="0"/>
              <w:pageBreakBefore w:val="0"/>
              <w:kinsoku/>
              <w:wordWrap/>
              <w:overflowPunct/>
              <w:topLinePunct w:val="0"/>
              <w:autoSpaceDE/>
              <w:autoSpaceDN/>
              <w:bidi w:val="0"/>
              <w:adjustRightInd/>
              <w:spacing w:beforeAutospacing="0" w:afterAutospacing="0" w:line="360" w:lineRule="auto"/>
              <w:contextualSpacing/>
              <w:jc w:val="center"/>
              <w:textAlignment w:val="auto"/>
              <w:rPr>
                <w:rFonts w:hint="eastAsia" w:asciiTheme="minorEastAsia" w:hAnsiTheme="minorEastAsia" w:cstheme="minorEastAsia"/>
                <w:sz w:val="21"/>
                <w:szCs w:val="21"/>
                <w:lang w:val="en-US" w:eastAsia="zh-CN"/>
              </w:rPr>
            </w:pPr>
          </w:p>
        </w:tc>
        <w:tc>
          <w:tcPr>
            <w:tcW w:w="3402" w:type="dxa"/>
          </w:tcPr>
          <w:p w14:paraId="5FCBD3BD">
            <w:pPr>
              <w:keepNext w:val="0"/>
              <w:keepLines w:val="0"/>
              <w:pageBreakBefore w:val="0"/>
              <w:kinsoku/>
              <w:wordWrap/>
              <w:overflowPunct/>
              <w:topLinePunct w:val="0"/>
              <w:autoSpaceDE/>
              <w:autoSpaceDN/>
              <w:bidi w:val="0"/>
              <w:adjustRightInd/>
              <w:spacing w:beforeAutospacing="0" w:afterAutospacing="0" w:line="360" w:lineRule="auto"/>
              <w:contextualSpacing/>
              <w:jc w:val="center"/>
              <w:textAlignment w:val="auto"/>
              <w:rPr>
                <w:rFonts w:hint="default" w:asciiTheme="minorEastAsia" w:hAnsiTheme="minorEastAsia" w:eastAsiaTheme="minorEastAsia" w:cstheme="minorEastAsia"/>
                <w:sz w:val="21"/>
                <w:szCs w:val="21"/>
                <w:lang w:val="en-US" w:eastAsia="zh-CN"/>
              </w:rPr>
            </w:pPr>
            <w:r>
              <w:rPr>
                <w:rFonts w:hint="default" w:asciiTheme="minorEastAsia" w:hAnsiTheme="minorEastAsia" w:eastAsiaTheme="minorEastAsia" w:cstheme="minorEastAsia"/>
                <w:sz w:val="21"/>
                <w:szCs w:val="21"/>
                <w:lang w:val="en-US" w:eastAsia="zh-CN"/>
              </w:rPr>
              <w:t>法律经济学</w:t>
            </w:r>
          </w:p>
        </w:tc>
        <w:tc>
          <w:tcPr>
            <w:tcW w:w="3311" w:type="dxa"/>
          </w:tcPr>
          <w:p w14:paraId="7F77213B">
            <w:pPr>
              <w:keepNext w:val="0"/>
              <w:keepLines w:val="0"/>
              <w:pageBreakBefore w:val="0"/>
              <w:kinsoku/>
              <w:wordWrap/>
              <w:overflowPunct/>
              <w:topLinePunct w:val="0"/>
              <w:autoSpaceDE/>
              <w:autoSpaceDN/>
              <w:bidi w:val="0"/>
              <w:adjustRightInd/>
              <w:spacing w:beforeAutospacing="0" w:afterAutospacing="0" w:line="360" w:lineRule="auto"/>
              <w:contextualSpacing/>
              <w:jc w:val="center"/>
              <w:textAlignment w:val="auto"/>
              <w:rPr>
                <w:rFonts w:hint="default" w:asciiTheme="minorEastAsia" w:hAnsiTheme="minorEastAsia" w:eastAsiaTheme="minorEastAsia" w:cstheme="minorEastAsia"/>
                <w:sz w:val="21"/>
                <w:szCs w:val="21"/>
                <w:lang w:val="en-US" w:eastAsia="zh-CN"/>
              </w:rPr>
            </w:pPr>
            <w:r>
              <w:rPr>
                <w:rFonts w:hint="default" w:asciiTheme="minorEastAsia" w:hAnsiTheme="minorEastAsia" w:eastAsiaTheme="minorEastAsia" w:cstheme="minorEastAsia"/>
                <w:sz w:val="21"/>
                <w:szCs w:val="21"/>
                <w:lang w:val="en-US" w:eastAsia="zh-CN"/>
              </w:rPr>
              <w:t>西方法学名著选读</w:t>
            </w:r>
          </w:p>
        </w:tc>
      </w:tr>
    </w:tbl>
    <w:p w14:paraId="68A2F35F">
      <w:pPr>
        <w:pStyle w:val="5"/>
        <w:keepNext w:val="0"/>
        <w:keepLines w:val="0"/>
        <w:pageBreakBefore w:val="0"/>
        <w:kinsoku/>
        <w:wordWrap/>
        <w:overflowPunct/>
        <w:topLinePunct w:val="0"/>
        <w:autoSpaceDE/>
        <w:autoSpaceDN/>
        <w:bidi w:val="0"/>
        <w:adjustRightInd/>
        <w:snapToGrid w:val="0"/>
        <w:spacing w:beforeAutospacing="0" w:afterAutospacing="0" w:line="360" w:lineRule="auto"/>
        <w:contextualSpacing/>
        <w:textAlignment w:val="auto"/>
        <w:rPr>
          <w:rFonts w:hint="eastAsia" w:asciiTheme="minorEastAsia" w:hAnsiTheme="minorEastAsia" w:eastAsiaTheme="minorEastAsia" w:cstheme="minorEastAsia"/>
          <w:sz w:val="21"/>
          <w:szCs w:val="21"/>
        </w:rPr>
      </w:pPr>
    </w:p>
    <w:p w14:paraId="273A9160">
      <w:pPr>
        <w:pStyle w:val="5"/>
        <w:keepNext w:val="0"/>
        <w:keepLines w:val="0"/>
        <w:pageBreakBefore w:val="0"/>
        <w:kinsoku/>
        <w:wordWrap/>
        <w:overflowPunct/>
        <w:topLinePunct w:val="0"/>
        <w:autoSpaceDE/>
        <w:autoSpaceDN/>
        <w:bidi w:val="0"/>
        <w:adjustRightInd/>
        <w:snapToGrid w:val="0"/>
        <w:spacing w:beforeAutospacing="0" w:afterAutospacing="0" w:line="360" w:lineRule="auto"/>
        <w:ind w:firstLine="2730" w:firstLineChars="1300"/>
        <w:contextualSpacing/>
        <w:textAlignment w:val="auto"/>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rPr>
        <w:t>注：部分课程教学参照</w:t>
      </w:r>
      <w:r>
        <w:rPr>
          <w:rFonts w:hint="eastAsia" w:asciiTheme="minorEastAsia" w:hAnsiTheme="minorEastAsia" w:eastAsiaTheme="minorEastAsia" w:cstheme="minorEastAsia"/>
          <w:sz w:val="21"/>
          <w:szCs w:val="21"/>
          <w:lang w:val="en-US" w:eastAsia="zh-CN"/>
        </w:rPr>
        <w:t>实际</w:t>
      </w:r>
    </w:p>
    <w:p w14:paraId="03B1A0BF">
      <w:pPr>
        <w:pStyle w:val="5"/>
        <w:keepNext w:val="0"/>
        <w:keepLines w:val="0"/>
        <w:pageBreakBefore w:val="0"/>
        <w:kinsoku/>
        <w:wordWrap/>
        <w:overflowPunct/>
        <w:topLinePunct w:val="0"/>
        <w:autoSpaceDE/>
        <w:autoSpaceDN/>
        <w:bidi w:val="0"/>
        <w:adjustRightInd/>
        <w:snapToGrid w:val="0"/>
        <w:spacing w:beforeAutospacing="0" w:afterAutospacing="0" w:line="360" w:lineRule="auto"/>
        <w:contextualSpacing/>
        <w:textAlignment w:val="auto"/>
        <w:rPr>
          <w:rFonts w:hint="default" w:asciiTheme="minorEastAsia" w:hAnsiTheme="minorEastAsia" w:eastAsiaTheme="minorEastAsia" w:cstheme="minorEastAsia"/>
          <w:sz w:val="21"/>
          <w:szCs w:val="21"/>
          <w:lang w:val="en-US" w:eastAsia="zh-CN"/>
        </w:rPr>
      </w:pPr>
    </w:p>
    <w:p w14:paraId="215FAF40">
      <w:pPr>
        <w:pStyle w:val="5"/>
        <w:numPr>
          <w:ilvl w:val="0"/>
          <w:numId w:val="1"/>
        </w:numPr>
        <w:snapToGrid w:val="0"/>
        <w:spacing w:line="360" w:lineRule="auto"/>
        <w:contextualSpacing/>
        <w:rPr>
          <w:rFonts w:hint="eastAsia" w:asciiTheme="minorEastAsia" w:hAnsiTheme="minorEastAsia" w:cstheme="minorEastAsia"/>
          <w:kern w:val="0"/>
          <w:sz w:val="21"/>
          <w:szCs w:val="21"/>
          <w:lang w:val="en-US" w:eastAsia="zh-CN" w:bidi="ar-SA"/>
        </w:rPr>
      </w:pPr>
      <w:r>
        <w:rPr>
          <w:rFonts w:hint="eastAsia" w:asciiTheme="minorEastAsia" w:hAnsiTheme="minorEastAsia" w:eastAsiaTheme="minorEastAsia"/>
          <w:b/>
          <w:bCs/>
          <w:sz w:val="24"/>
          <w:szCs w:val="24"/>
          <w:lang w:val="en-US" w:eastAsia="zh-CN"/>
        </w:rPr>
        <w:t>报名条件：</w:t>
      </w:r>
    </w:p>
    <w:p w14:paraId="2426722F">
      <w:pPr>
        <w:pStyle w:val="5"/>
        <w:numPr>
          <w:ilvl w:val="0"/>
          <w:numId w:val="3"/>
        </w:numPr>
        <w:snapToGrid w:val="0"/>
        <w:spacing w:line="360" w:lineRule="auto"/>
        <w:ind w:firstLine="420" w:firstLineChars="200"/>
        <w:contextualSpacing/>
        <w:rPr>
          <w:rFonts w:hint="eastAsia" w:asciiTheme="minorEastAsia" w:hAnsiTheme="minorEastAsia" w:cstheme="minorEastAsia"/>
          <w:kern w:val="0"/>
          <w:sz w:val="21"/>
          <w:szCs w:val="21"/>
          <w:lang w:val="en-US" w:eastAsia="zh-CN" w:bidi="ar-SA"/>
        </w:rPr>
      </w:pPr>
      <w:r>
        <w:rPr>
          <w:rFonts w:hint="eastAsia" w:asciiTheme="minorEastAsia" w:hAnsiTheme="minorEastAsia" w:cstheme="minorEastAsia"/>
          <w:kern w:val="0"/>
          <w:sz w:val="21"/>
          <w:szCs w:val="21"/>
          <w:lang w:val="en-US" w:eastAsia="zh-CN" w:bidi="ar-SA"/>
        </w:rPr>
        <w:t>大专以上学历者即可报名；</w:t>
      </w:r>
    </w:p>
    <w:p w14:paraId="241A2ADC">
      <w:pPr>
        <w:pStyle w:val="5"/>
        <w:numPr>
          <w:ilvl w:val="0"/>
          <w:numId w:val="0"/>
        </w:numPr>
        <w:snapToGrid w:val="0"/>
        <w:spacing w:line="360" w:lineRule="auto"/>
        <w:ind w:firstLine="420" w:firstLineChars="200"/>
        <w:contextualSpacing/>
        <w:rPr>
          <w:rFonts w:hint="default" w:asciiTheme="minorEastAsia" w:hAnsiTheme="minorEastAsia" w:eastAsiaTheme="minorEastAsia"/>
          <w:b/>
          <w:bCs/>
          <w:sz w:val="24"/>
          <w:szCs w:val="24"/>
          <w:lang w:val="en-US" w:eastAsia="zh-CN"/>
        </w:rPr>
      </w:pPr>
      <w:r>
        <w:rPr>
          <w:rFonts w:hint="eastAsia" w:asciiTheme="minorEastAsia" w:hAnsiTheme="minorEastAsia" w:eastAsiaTheme="minorEastAsia" w:cstheme="minorEastAsia"/>
          <w:kern w:val="0"/>
          <w:sz w:val="21"/>
          <w:szCs w:val="21"/>
          <w:lang w:val="en-US" w:eastAsia="zh-CN" w:bidi="ar-SA"/>
        </w:rPr>
        <w:t>2、大学本科毕业并获得学士学位后工作3年以上</w:t>
      </w:r>
      <w:r>
        <w:rPr>
          <w:rFonts w:hint="eastAsia" w:asciiTheme="minorEastAsia" w:hAnsiTheme="minorEastAsia" w:cstheme="minorEastAsia"/>
          <w:kern w:val="0"/>
          <w:sz w:val="21"/>
          <w:szCs w:val="21"/>
          <w:lang w:val="en-US" w:eastAsia="zh-CN" w:bidi="ar-SA"/>
        </w:rPr>
        <w:t>，</w:t>
      </w:r>
      <w:r>
        <w:rPr>
          <w:rFonts w:hint="eastAsia" w:asciiTheme="minorEastAsia" w:hAnsiTheme="minorEastAsia" w:eastAsiaTheme="minorEastAsia" w:cstheme="minorEastAsia"/>
          <w:kern w:val="0"/>
          <w:sz w:val="21"/>
          <w:szCs w:val="21"/>
          <w:lang w:val="en-US" w:eastAsia="zh-CN" w:bidi="ar-SA"/>
        </w:rPr>
        <w:t>虽无学士学位但已获得硕士或博士学位者</w:t>
      </w:r>
      <w:r>
        <w:rPr>
          <w:rFonts w:hint="eastAsia" w:asciiTheme="minorEastAsia" w:hAnsiTheme="minorEastAsia" w:cstheme="minorEastAsia"/>
          <w:kern w:val="0"/>
          <w:sz w:val="21"/>
          <w:szCs w:val="21"/>
          <w:lang w:val="en-US" w:eastAsia="zh-CN" w:bidi="ar-SA"/>
        </w:rPr>
        <w:t>；</w:t>
      </w:r>
    </w:p>
    <w:p w14:paraId="33C0DD1B">
      <w:pPr>
        <w:pStyle w:val="5"/>
        <w:numPr>
          <w:ilvl w:val="0"/>
          <w:numId w:val="0"/>
        </w:numPr>
        <w:snapToGrid w:val="0"/>
        <w:spacing w:line="360" w:lineRule="auto"/>
        <w:ind w:firstLine="420" w:firstLineChars="200"/>
        <w:contextualSpacing/>
        <w:rPr>
          <w:rFonts w:hint="eastAsia" w:asciiTheme="minorEastAsia" w:hAnsiTheme="minorEastAsia" w:cstheme="minorEastAsia"/>
          <w:kern w:val="0"/>
          <w:sz w:val="21"/>
          <w:szCs w:val="21"/>
          <w:lang w:val="en-US" w:eastAsia="zh-CN" w:bidi="ar-SA"/>
        </w:rPr>
      </w:pPr>
      <w:r>
        <w:rPr>
          <w:rFonts w:hint="eastAsia" w:asciiTheme="minorEastAsia" w:hAnsiTheme="minorEastAsia" w:cstheme="minorEastAsia"/>
          <w:kern w:val="0"/>
          <w:sz w:val="21"/>
          <w:szCs w:val="21"/>
          <w:lang w:val="en-US" w:eastAsia="zh-CN" w:bidi="ar-SA"/>
        </w:rPr>
        <w:t>3、</w:t>
      </w:r>
      <w:r>
        <w:rPr>
          <w:rFonts w:hint="eastAsia" w:asciiTheme="minorEastAsia" w:hAnsiTheme="minorEastAsia" w:eastAsiaTheme="minorEastAsia" w:cstheme="minorEastAsia"/>
          <w:kern w:val="0"/>
          <w:sz w:val="21"/>
          <w:szCs w:val="21"/>
          <w:lang w:val="en-US" w:eastAsia="zh-CN" w:bidi="ar-SA"/>
        </w:rPr>
        <w:t>通过教育部留学服务中心认证的国（境）外学士、硕士或博士学位获得者</w:t>
      </w:r>
      <w:r>
        <w:rPr>
          <w:rFonts w:hint="eastAsia" w:asciiTheme="minorEastAsia" w:hAnsiTheme="minorEastAsia" w:cstheme="minorEastAsia"/>
          <w:kern w:val="0"/>
          <w:sz w:val="21"/>
          <w:szCs w:val="21"/>
          <w:lang w:val="en-US" w:eastAsia="zh-CN" w:bidi="ar-SA"/>
        </w:rPr>
        <w:t>。</w:t>
      </w:r>
    </w:p>
    <w:p w14:paraId="5B6866B7">
      <w:pPr>
        <w:pStyle w:val="5"/>
        <w:numPr>
          <w:ilvl w:val="0"/>
          <w:numId w:val="0"/>
        </w:numPr>
        <w:snapToGrid w:val="0"/>
        <w:spacing w:line="360" w:lineRule="auto"/>
        <w:contextualSpacing/>
        <w:rPr>
          <w:rFonts w:hint="default" w:asciiTheme="minorEastAsia" w:hAnsiTheme="minorEastAsia" w:cstheme="minorEastAsia"/>
          <w:kern w:val="0"/>
          <w:sz w:val="21"/>
          <w:szCs w:val="21"/>
          <w:lang w:val="en-US" w:eastAsia="zh-CN" w:bidi="ar-SA"/>
        </w:rPr>
      </w:pPr>
    </w:p>
    <w:p w14:paraId="2FD4EB6E">
      <w:pPr>
        <w:pStyle w:val="5"/>
        <w:numPr>
          <w:ilvl w:val="0"/>
          <w:numId w:val="1"/>
        </w:numPr>
        <w:snapToGrid w:val="0"/>
        <w:spacing w:line="360" w:lineRule="auto"/>
        <w:contextualSpacing/>
        <w:rPr>
          <w:rFonts w:hint="default" w:asciiTheme="minorEastAsia" w:hAnsiTheme="minorEastAsia" w:eastAsiaTheme="minorEastAsia"/>
          <w:b/>
          <w:bCs/>
          <w:sz w:val="24"/>
          <w:szCs w:val="24"/>
          <w:lang w:val="en-US" w:eastAsia="zh-CN"/>
        </w:rPr>
      </w:pPr>
      <w:r>
        <w:rPr>
          <w:rFonts w:hint="eastAsia" w:asciiTheme="minorEastAsia" w:hAnsiTheme="minorEastAsia" w:eastAsiaTheme="minorEastAsia"/>
          <w:b/>
          <w:bCs/>
          <w:sz w:val="24"/>
          <w:szCs w:val="24"/>
          <w:lang w:val="en-US" w:eastAsia="zh-CN"/>
        </w:rPr>
        <w:t>报名材料：</w:t>
      </w:r>
    </w:p>
    <w:p w14:paraId="7C629D8F">
      <w:pPr>
        <w:pStyle w:val="5"/>
        <w:widowControl/>
        <w:numPr>
          <w:ilvl w:val="0"/>
          <w:numId w:val="0"/>
        </w:numPr>
        <w:snapToGrid w:val="0"/>
        <w:spacing w:before="100" w:beforeAutospacing="1" w:after="100" w:afterAutospacing="1" w:line="360" w:lineRule="auto"/>
        <w:ind w:firstLine="420" w:firstLineChars="200"/>
        <w:contextualSpacing/>
        <w:jc w:val="left"/>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1、本人持二代居民身份证原件及复印件；</w:t>
      </w:r>
    </w:p>
    <w:p w14:paraId="0781C640">
      <w:pPr>
        <w:pStyle w:val="5"/>
        <w:widowControl/>
        <w:numPr>
          <w:ilvl w:val="0"/>
          <w:numId w:val="0"/>
        </w:numPr>
        <w:snapToGrid w:val="0"/>
        <w:spacing w:before="100" w:beforeAutospacing="1" w:after="100" w:afterAutospacing="1" w:line="360" w:lineRule="auto"/>
        <w:ind w:firstLine="420" w:firstLineChars="200"/>
        <w:contextualSpacing/>
        <w:jc w:val="left"/>
        <w:rPr>
          <w:rFonts w:hint="default"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2、本人学历和学位证书、毕业证书原件及复印件；</w:t>
      </w:r>
    </w:p>
    <w:p w14:paraId="0156590E">
      <w:pPr>
        <w:pStyle w:val="5"/>
        <w:widowControl/>
        <w:numPr>
          <w:ilvl w:val="0"/>
          <w:numId w:val="0"/>
        </w:numPr>
        <w:snapToGrid w:val="0"/>
        <w:spacing w:before="100" w:beforeAutospacing="1" w:after="100" w:afterAutospacing="1" w:line="360" w:lineRule="auto"/>
        <w:ind w:firstLine="420" w:firstLineChars="200"/>
        <w:contextualSpacing/>
        <w:jc w:val="left"/>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3、近期2张蓝底一寸照片2张蓝底二寸照片；</w:t>
      </w:r>
    </w:p>
    <w:p w14:paraId="31419E47">
      <w:pPr>
        <w:pStyle w:val="5"/>
        <w:widowControl/>
        <w:numPr>
          <w:ilvl w:val="0"/>
          <w:numId w:val="0"/>
        </w:numPr>
        <w:snapToGrid w:val="0"/>
        <w:spacing w:before="100" w:beforeAutospacing="1" w:after="100" w:afterAutospacing="1" w:line="360" w:lineRule="auto"/>
        <w:contextualSpacing/>
        <w:jc w:val="left"/>
        <w:rPr>
          <w:rFonts w:hint="default" w:asciiTheme="minorEastAsia" w:hAnsiTheme="minorEastAsia" w:eastAsiaTheme="minorEastAsia"/>
          <w:b/>
          <w:bCs/>
          <w:sz w:val="24"/>
          <w:szCs w:val="24"/>
          <w:lang w:val="en-US" w:eastAsia="zh-CN"/>
        </w:rPr>
      </w:pPr>
    </w:p>
    <w:p w14:paraId="024FCFF1">
      <w:pPr>
        <w:pStyle w:val="5"/>
        <w:numPr>
          <w:ilvl w:val="0"/>
          <w:numId w:val="1"/>
        </w:numPr>
        <w:snapToGrid w:val="0"/>
        <w:spacing w:line="360" w:lineRule="auto"/>
        <w:contextualSpacing/>
        <w:rPr>
          <w:rFonts w:hint="default" w:asciiTheme="minorEastAsia" w:hAnsiTheme="minorEastAsia" w:eastAsiaTheme="minorEastAsia"/>
          <w:b/>
          <w:bCs/>
          <w:sz w:val="24"/>
          <w:szCs w:val="24"/>
          <w:lang w:val="en-US" w:eastAsia="zh-CN"/>
        </w:rPr>
      </w:pPr>
      <w:r>
        <w:rPr>
          <w:rFonts w:hint="eastAsia" w:asciiTheme="minorEastAsia" w:hAnsiTheme="minorEastAsia" w:eastAsiaTheme="minorEastAsia"/>
          <w:b/>
          <w:bCs/>
          <w:sz w:val="24"/>
          <w:szCs w:val="24"/>
          <w:lang w:val="en-US" w:eastAsia="zh-CN"/>
        </w:rPr>
        <w:t>培养方式和学制：</w:t>
      </w:r>
    </w:p>
    <w:p w14:paraId="30B98D20">
      <w:pPr>
        <w:pStyle w:val="5"/>
        <w:widowControl/>
        <w:numPr>
          <w:ilvl w:val="0"/>
          <w:numId w:val="0"/>
        </w:numPr>
        <w:snapToGrid w:val="0"/>
        <w:spacing w:before="100" w:beforeAutospacing="1" w:after="100" w:afterAutospacing="1" w:line="360" w:lineRule="auto"/>
        <w:ind w:firstLine="481"/>
        <w:contextualSpacing/>
        <w:jc w:val="left"/>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教学方式：每月集中双休日采用线上/线下授课，</w:t>
      </w:r>
      <w:r>
        <w:rPr>
          <w:rFonts w:hint="eastAsia" w:ascii="仿宋" w:hAnsi="仿宋" w:cs="仿宋"/>
          <w:b w:val="0"/>
          <w:bCs w:val="0"/>
          <w:color w:val="000000"/>
          <w:spacing w:val="1"/>
          <w:sz w:val="21"/>
          <w:szCs w:val="21"/>
          <w:lang w:val="en-US" w:eastAsia="zh-CN"/>
        </w:rPr>
        <w:t>（授课采取线上为主的方式教学）</w:t>
      </w:r>
      <w:r>
        <w:rPr>
          <w:rFonts w:hint="eastAsia" w:asciiTheme="minorEastAsia" w:hAnsiTheme="minorEastAsia" w:eastAsiaTheme="minorEastAsia" w:cstheme="minorEastAsia"/>
          <w:sz w:val="21"/>
          <w:szCs w:val="21"/>
          <w:lang w:val="en-US" w:eastAsia="zh-CN"/>
        </w:rPr>
        <w:t>；</w:t>
      </w:r>
    </w:p>
    <w:p w14:paraId="1354A41B">
      <w:pPr>
        <w:pStyle w:val="5"/>
        <w:widowControl/>
        <w:numPr>
          <w:ilvl w:val="0"/>
          <w:numId w:val="0"/>
        </w:numPr>
        <w:snapToGrid w:val="0"/>
        <w:spacing w:before="100" w:beforeAutospacing="1" w:after="100" w:afterAutospacing="1" w:line="360" w:lineRule="auto"/>
        <w:ind w:firstLine="481"/>
        <w:contextualSpacing/>
        <w:jc w:val="left"/>
        <w:rPr>
          <w:rFonts w:hint="eastAsia" w:asciiTheme="minorEastAsia" w:hAnsiTheme="minorEastAsia" w:eastAsiaTheme="minorEastAsia"/>
          <w:b/>
          <w:bCs/>
          <w:sz w:val="24"/>
          <w:szCs w:val="24"/>
          <w:lang w:val="en-US" w:eastAsia="zh-CN"/>
        </w:rPr>
      </w:pPr>
      <w:r>
        <w:rPr>
          <w:rFonts w:hint="eastAsia" w:asciiTheme="minorEastAsia" w:hAnsiTheme="minorEastAsia" w:eastAsiaTheme="minorEastAsia" w:cstheme="minorEastAsia"/>
          <w:sz w:val="21"/>
          <w:szCs w:val="21"/>
          <w:lang w:val="en-US" w:eastAsia="zh-CN"/>
        </w:rPr>
        <w:t xml:space="preserve">学制：1年    </w:t>
      </w:r>
    </w:p>
    <w:p w14:paraId="36219708">
      <w:pPr>
        <w:pStyle w:val="5"/>
        <w:widowControl/>
        <w:numPr>
          <w:ilvl w:val="0"/>
          <w:numId w:val="0"/>
        </w:numPr>
        <w:snapToGrid w:val="0"/>
        <w:spacing w:before="100" w:beforeAutospacing="1" w:after="100" w:afterAutospacing="1" w:line="360" w:lineRule="auto"/>
        <w:contextualSpacing/>
        <w:jc w:val="left"/>
        <w:rPr>
          <w:rFonts w:hint="default" w:asciiTheme="minorEastAsia" w:hAnsiTheme="minorEastAsia" w:eastAsiaTheme="minorEastAsia"/>
          <w:b/>
          <w:bCs/>
          <w:sz w:val="24"/>
          <w:szCs w:val="24"/>
          <w:lang w:val="en-US" w:eastAsia="zh-CN"/>
        </w:rPr>
      </w:pPr>
    </w:p>
    <w:p w14:paraId="235871AA">
      <w:pPr>
        <w:pStyle w:val="5"/>
        <w:numPr>
          <w:ilvl w:val="0"/>
          <w:numId w:val="1"/>
        </w:numPr>
        <w:snapToGrid w:val="0"/>
        <w:spacing w:line="360" w:lineRule="auto"/>
        <w:contextualSpacing/>
        <w:rPr>
          <w:rFonts w:hint="eastAsia" w:asciiTheme="minorEastAsia" w:hAnsiTheme="minorEastAsia" w:eastAsiaTheme="minorEastAsia" w:cstheme="minorEastAsia"/>
          <w:kern w:val="0"/>
          <w:sz w:val="21"/>
          <w:szCs w:val="21"/>
          <w:lang w:val="en-US" w:eastAsia="zh-CN" w:bidi="ar-SA"/>
        </w:rPr>
      </w:pPr>
      <w:r>
        <w:rPr>
          <w:rFonts w:hint="eastAsia" w:asciiTheme="minorEastAsia" w:hAnsiTheme="minorEastAsia" w:eastAsiaTheme="minorEastAsia"/>
          <w:b/>
          <w:bCs/>
          <w:sz w:val="24"/>
          <w:szCs w:val="24"/>
          <w:lang w:val="en-US" w:eastAsia="zh-CN"/>
        </w:rPr>
        <w:t>获取证书：</w:t>
      </w:r>
    </w:p>
    <w:p w14:paraId="24CDF0D8">
      <w:pPr>
        <w:pStyle w:val="5"/>
        <w:numPr>
          <w:ilvl w:val="0"/>
          <w:numId w:val="4"/>
        </w:numPr>
        <w:snapToGrid w:val="0"/>
        <w:spacing w:line="360" w:lineRule="auto"/>
        <w:ind w:firstLine="420" w:firstLineChars="200"/>
        <w:contextualSpacing/>
        <w:rPr>
          <w:rFonts w:hint="eastAsia" w:asciiTheme="minorEastAsia" w:hAnsiTheme="minorEastAsia" w:eastAsiaTheme="minorEastAsia" w:cstheme="minorEastAsia"/>
          <w:kern w:val="0"/>
          <w:sz w:val="21"/>
          <w:szCs w:val="21"/>
          <w:lang w:val="en-US" w:eastAsia="zh-CN" w:bidi="ar-SA"/>
        </w:rPr>
      </w:pPr>
      <w:r>
        <w:rPr>
          <w:rFonts w:hint="eastAsia" w:asciiTheme="minorEastAsia" w:hAnsiTheme="minorEastAsia" w:eastAsiaTheme="minorEastAsia" w:cstheme="minorEastAsia"/>
          <w:kern w:val="0"/>
          <w:sz w:val="21"/>
          <w:szCs w:val="21"/>
          <w:lang w:val="en-US" w:eastAsia="zh-CN" w:bidi="ar-SA"/>
        </w:rPr>
        <w:t>学员通过所报专业硕士研究生所有必修课程和选修课程考试，修满学分成绩合格，课程学习结束时发给江西财经大学硕士研究生课程班结业证书。</w:t>
      </w:r>
    </w:p>
    <w:p w14:paraId="38DF4AA1">
      <w:pPr>
        <w:pStyle w:val="5"/>
        <w:numPr>
          <w:ilvl w:val="0"/>
          <w:numId w:val="0"/>
        </w:numPr>
        <w:snapToGrid w:val="0"/>
        <w:spacing w:line="360" w:lineRule="auto"/>
        <w:ind w:firstLine="420" w:firstLineChars="200"/>
        <w:contextualSpacing/>
        <w:rPr>
          <w:rFonts w:hint="default" w:asciiTheme="minorEastAsia" w:hAnsiTheme="minorEastAsia" w:eastAsiaTheme="minorEastAsia" w:cstheme="minorEastAsia"/>
          <w:kern w:val="0"/>
          <w:sz w:val="21"/>
          <w:szCs w:val="21"/>
          <w:lang w:val="en-US" w:eastAsia="zh-CN" w:bidi="ar-SA"/>
        </w:rPr>
      </w:pPr>
      <w:r>
        <w:rPr>
          <w:rFonts w:hint="eastAsia" w:asciiTheme="minorEastAsia" w:hAnsiTheme="minorEastAsia" w:cstheme="minorEastAsia"/>
          <w:kern w:val="0"/>
          <w:sz w:val="21"/>
          <w:szCs w:val="21"/>
          <w:lang w:val="en-US" w:eastAsia="zh-CN" w:bidi="ar-SA"/>
        </w:rPr>
        <w:t>2、完成所有课程学习并且考核合格这，满足同等学力申请硕士学位条件学员，可参加全国统一考试，成绩合格达标者可进入学位论文写作阶段，论文通过评审、答辩，并经由我校学位评定委员会批准，可授予江西财经大学法学硕士学位并颁发证书。</w:t>
      </w:r>
    </w:p>
    <w:p w14:paraId="6E92F960">
      <w:pPr>
        <w:pStyle w:val="5"/>
        <w:widowControl/>
        <w:numPr>
          <w:ilvl w:val="0"/>
          <w:numId w:val="0"/>
        </w:numPr>
        <w:snapToGrid w:val="0"/>
        <w:spacing w:before="100" w:beforeAutospacing="1" w:after="100" w:afterAutospacing="1" w:line="360" w:lineRule="auto"/>
        <w:contextualSpacing/>
        <w:jc w:val="left"/>
        <w:rPr>
          <w:rFonts w:hint="default" w:asciiTheme="minorEastAsia" w:hAnsiTheme="minorEastAsia" w:eastAsiaTheme="minorEastAsia"/>
          <w:b/>
          <w:bCs/>
          <w:sz w:val="24"/>
          <w:szCs w:val="24"/>
          <w:lang w:val="en-US" w:eastAsia="zh-CN"/>
        </w:rPr>
      </w:pPr>
    </w:p>
    <w:p w14:paraId="7CC0ED56">
      <w:pPr>
        <w:pStyle w:val="5"/>
        <w:numPr>
          <w:ilvl w:val="0"/>
          <w:numId w:val="1"/>
        </w:numPr>
        <w:snapToGrid w:val="0"/>
        <w:spacing w:line="360" w:lineRule="auto"/>
        <w:contextualSpacing/>
        <w:rPr>
          <w:rFonts w:hint="eastAsia" w:ascii="宋体" w:hAnsi="宋体" w:eastAsia="宋体" w:cs="宋体"/>
          <w:sz w:val="24"/>
          <w:szCs w:val="24"/>
          <w:lang w:val="en-US" w:eastAsia="zh-CN"/>
        </w:rPr>
      </w:pPr>
      <w:r>
        <w:rPr>
          <w:rFonts w:hint="eastAsia" w:asciiTheme="minorEastAsia" w:hAnsiTheme="minorEastAsia" w:eastAsiaTheme="minorEastAsia"/>
          <w:b/>
          <w:bCs/>
          <w:sz w:val="24"/>
          <w:szCs w:val="24"/>
          <w:lang w:val="en-US" w:eastAsia="zh-CN"/>
        </w:rPr>
        <w:t>收费标准：</w:t>
      </w:r>
    </w:p>
    <w:p w14:paraId="5766C2CE">
      <w:pPr>
        <w:pStyle w:val="5"/>
        <w:numPr>
          <w:ilvl w:val="0"/>
          <w:numId w:val="0"/>
        </w:numPr>
        <w:snapToGrid w:val="0"/>
        <w:spacing w:line="360" w:lineRule="auto"/>
        <w:ind w:firstLine="420" w:firstLineChars="200"/>
        <w:contextualSpacing/>
        <w:rPr>
          <w:rFonts w:hint="eastAsia" w:ascii="宋体" w:hAnsi="宋体" w:eastAsia="宋体" w:cs="宋体"/>
          <w:sz w:val="24"/>
          <w:szCs w:val="24"/>
          <w:lang w:val="en-US" w:eastAsia="zh-CN"/>
        </w:rPr>
      </w:pPr>
      <w:r>
        <w:rPr>
          <w:rFonts w:hint="eastAsia" w:ascii="宋体" w:hAnsi="宋体" w:eastAsia="宋体" w:cs="宋体"/>
          <w:b w:val="0"/>
          <w:bCs/>
          <w:color w:val="auto"/>
          <w:sz w:val="21"/>
          <w:szCs w:val="21"/>
          <w:lang w:val="en-US" w:eastAsia="zh-CN"/>
        </w:rPr>
        <w:t>学费缴纳分两段制进行，即课程学习阶段和撰写学位论文和论文答辩阶段，课程学习培养阶段学费为</w:t>
      </w:r>
      <w:r>
        <w:rPr>
          <w:rFonts w:hint="eastAsia" w:cs="宋体"/>
          <w:b w:val="0"/>
          <w:bCs/>
          <w:color w:val="auto"/>
          <w:sz w:val="21"/>
          <w:szCs w:val="21"/>
          <w:lang w:val="en-US" w:eastAsia="zh-CN"/>
        </w:rPr>
        <w:t>18</w:t>
      </w:r>
      <w:r>
        <w:rPr>
          <w:rFonts w:hint="eastAsia" w:ascii="宋体" w:hAnsi="宋体" w:eastAsia="宋体" w:cs="宋体"/>
          <w:b w:val="0"/>
          <w:bCs/>
          <w:color w:val="auto"/>
          <w:sz w:val="21"/>
          <w:szCs w:val="21"/>
          <w:lang w:val="en-US" w:eastAsia="zh-CN"/>
        </w:rPr>
        <w:t xml:space="preserve">000元，论文指导费为8000元，收费要求以学校实际要求为准。  </w:t>
      </w:r>
      <w:r>
        <w:rPr>
          <w:rFonts w:hint="eastAsia" w:ascii="宋体" w:hAnsi="宋体" w:eastAsia="宋体" w:cs="宋体"/>
          <w:sz w:val="24"/>
          <w:szCs w:val="24"/>
          <w:lang w:val="en-US" w:eastAsia="zh-CN"/>
        </w:rPr>
        <w:t xml:space="preserve"> </w:t>
      </w:r>
    </w:p>
    <w:p w14:paraId="721D86AE">
      <w:pPr>
        <w:pStyle w:val="5"/>
        <w:snapToGrid w:val="0"/>
        <w:spacing w:line="360" w:lineRule="auto"/>
        <w:contextualSpacing/>
        <w:rPr>
          <w:rFonts w:asciiTheme="minorEastAsia" w:hAnsiTheme="minorEastAsia"/>
          <w:szCs w:val="21"/>
        </w:rPr>
      </w:pPr>
      <w:bookmarkStart w:id="0" w:name="_GoBack"/>
      <w:bookmarkEnd w:id="0"/>
    </w:p>
    <w:sectPr>
      <w:headerReference r:id="rId5" w:type="first"/>
      <w:headerReference r:id="rId3" w:type="default"/>
      <w:headerReference r:id="rId4" w:type="even"/>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55D9A5B">
    <w:pPr>
      <w:pStyle w:val="4"/>
      <w:tabs>
        <w:tab w:val="center" w:pos="4213"/>
        <w:tab w:val="left" w:pos="6891"/>
      </w:tabs>
      <w:jc w:val="left"/>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5266690" cy="5266690"/>
          <wp:effectExtent l="0" t="0" r="10160" b="10160"/>
          <wp:wrapNone/>
          <wp:docPr id="4" name="WordPictureWatermark113217064" descr="2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WordPictureWatermark113217064" descr="222"/>
                  <pic:cNvPicPr>
                    <a:picLocks noChangeAspect="1"/>
                  </pic:cNvPicPr>
                </pic:nvPicPr>
                <pic:blipFill>
                  <a:blip r:embed="rId1">
                    <a:lum bright="70001" contrast="-70000"/>
                  </a:blip>
                  <a:stretch>
                    <a:fillRect/>
                  </a:stretch>
                </pic:blipFill>
                <pic:spPr>
                  <a:xfrm>
                    <a:off x="0" y="0"/>
                    <a:ext cx="5266690" cy="5266690"/>
                  </a:xfrm>
                  <a:prstGeom prst="rect">
                    <a:avLst/>
                  </a:prstGeom>
                  <a:noFill/>
                  <a:ln>
                    <a:noFill/>
                  </a:ln>
                </pic:spPr>
              </pic:pic>
            </a:graphicData>
          </a:graphic>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E872CD4">
    <w:pPr>
      <w:pStyle w:val="4"/>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5266690" cy="5266690"/>
          <wp:effectExtent l="0" t="0" r="10160" b="10160"/>
          <wp:wrapNone/>
          <wp:docPr id="3" name="WordPictureWatermark113217063" descr="2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13217063" descr="222"/>
                  <pic:cNvPicPr>
                    <a:picLocks noChangeAspect="1"/>
                  </pic:cNvPicPr>
                </pic:nvPicPr>
                <pic:blipFill>
                  <a:blip r:embed="rId1">
                    <a:lum bright="70001" contrast="-70000"/>
                  </a:blip>
                  <a:stretch>
                    <a:fillRect/>
                  </a:stretch>
                </pic:blipFill>
                <pic:spPr>
                  <a:xfrm>
                    <a:off x="0" y="0"/>
                    <a:ext cx="5266690" cy="5266690"/>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80E77E6">
    <w:pPr>
      <w:pStyle w:val="4"/>
    </w:pPr>
    <w:r>
      <w:drawing>
        <wp:anchor distT="0" distB="0" distL="114300" distR="114300" simplePos="0" relativeHeight="251659264" behindDoc="1" locked="0" layoutInCell="0" allowOverlap="1">
          <wp:simplePos x="0" y="0"/>
          <wp:positionH relativeFrom="margin">
            <wp:align>center</wp:align>
          </wp:positionH>
          <wp:positionV relativeFrom="margin">
            <wp:align>center</wp:align>
          </wp:positionV>
          <wp:extent cx="5266690" cy="5266690"/>
          <wp:effectExtent l="0" t="0" r="10160" b="10160"/>
          <wp:wrapNone/>
          <wp:docPr id="1" name="WordPictureWatermark113217062" descr="2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ordPictureWatermark113217062" descr="222"/>
                  <pic:cNvPicPr>
                    <a:picLocks noChangeAspect="1"/>
                  </pic:cNvPicPr>
                </pic:nvPicPr>
                <pic:blipFill>
                  <a:blip r:embed="rId1">
                    <a:lum bright="70001" contrast="-70000"/>
                  </a:blip>
                  <a:stretch>
                    <a:fillRect/>
                  </a:stretch>
                </pic:blipFill>
                <pic:spPr>
                  <a:xfrm>
                    <a:off x="0" y="0"/>
                    <a:ext cx="5266690" cy="5266690"/>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3FB78AB"/>
    <w:multiLevelType w:val="singleLevel"/>
    <w:tmpl w:val="B3FB78AB"/>
    <w:lvl w:ilvl="0" w:tentative="0">
      <w:start w:val="1"/>
      <w:numFmt w:val="decimal"/>
      <w:suff w:val="nothing"/>
      <w:lvlText w:val="%1、"/>
      <w:lvlJc w:val="left"/>
    </w:lvl>
  </w:abstractNum>
  <w:abstractNum w:abstractNumId="1">
    <w:nsid w:val="C000E8B9"/>
    <w:multiLevelType w:val="singleLevel"/>
    <w:tmpl w:val="C000E8B9"/>
    <w:lvl w:ilvl="0" w:tentative="0">
      <w:start w:val="1"/>
      <w:numFmt w:val="decimal"/>
      <w:suff w:val="nothing"/>
      <w:lvlText w:val="%1、"/>
      <w:lvlJc w:val="left"/>
      <w:rPr>
        <w:rFonts w:hint="default"/>
        <w:b/>
        <w:bCs/>
      </w:rPr>
    </w:lvl>
  </w:abstractNum>
  <w:abstractNum w:abstractNumId="2">
    <w:nsid w:val="FD979A40"/>
    <w:multiLevelType w:val="singleLevel"/>
    <w:tmpl w:val="FD979A40"/>
    <w:lvl w:ilvl="0" w:tentative="0">
      <w:start w:val="1"/>
      <w:numFmt w:val="chineseCounting"/>
      <w:suff w:val="nothing"/>
      <w:lvlText w:val="%1、"/>
      <w:lvlJc w:val="left"/>
      <w:rPr>
        <w:rFonts w:hint="eastAsia"/>
        <w:b/>
        <w:bCs/>
      </w:rPr>
    </w:lvl>
  </w:abstractNum>
  <w:abstractNum w:abstractNumId="3">
    <w:nsid w:val="62366322"/>
    <w:multiLevelType w:val="singleLevel"/>
    <w:tmpl w:val="62366322"/>
    <w:lvl w:ilvl="0" w:tentative="0">
      <w:start w:val="1"/>
      <w:numFmt w:val="decimal"/>
      <w:suff w:val="nothing"/>
      <w:lvlText w:val="%1、"/>
      <w:lvlJc w:val="left"/>
    </w:lvl>
  </w:abstractNum>
  <w:num w:numId="1">
    <w:abstractNumId w:val="2"/>
  </w:num>
  <w:num w:numId="2">
    <w:abstractNumId w:val="1"/>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GQ5ODQ5N2Q1NmI0ZDAwYTJiMTcyMmU3ZjhhMWE4NmEifQ=="/>
  </w:docVars>
  <w:rsids>
    <w:rsidRoot w:val="00B032C0"/>
    <w:rsid w:val="00082F90"/>
    <w:rsid w:val="0008532F"/>
    <w:rsid w:val="000A69B5"/>
    <w:rsid w:val="000E73B0"/>
    <w:rsid w:val="001514BE"/>
    <w:rsid w:val="00160303"/>
    <w:rsid w:val="001904E4"/>
    <w:rsid w:val="00223CE0"/>
    <w:rsid w:val="002519DA"/>
    <w:rsid w:val="00296044"/>
    <w:rsid w:val="002B1210"/>
    <w:rsid w:val="002B1B2B"/>
    <w:rsid w:val="004B538B"/>
    <w:rsid w:val="004E753A"/>
    <w:rsid w:val="004F5BC4"/>
    <w:rsid w:val="00556C91"/>
    <w:rsid w:val="005B2E48"/>
    <w:rsid w:val="00715789"/>
    <w:rsid w:val="00717213"/>
    <w:rsid w:val="00764FAE"/>
    <w:rsid w:val="007B0553"/>
    <w:rsid w:val="007D1D49"/>
    <w:rsid w:val="00800692"/>
    <w:rsid w:val="00810410"/>
    <w:rsid w:val="009D1993"/>
    <w:rsid w:val="00A16BE0"/>
    <w:rsid w:val="00AB0641"/>
    <w:rsid w:val="00AC5EE8"/>
    <w:rsid w:val="00B032C0"/>
    <w:rsid w:val="00B35C22"/>
    <w:rsid w:val="00B552D8"/>
    <w:rsid w:val="00BF6C72"/>
    <w:rsid w:val="00C5768A"/>
    <w:rsid w:val="00CC3E5F"/>
    <w:rsid w:val="00D00E82"/>
    <w:rsid w:val="00D61FBE"/>
    <w:rsid w:val="00D95A35"/>
    <w:rsid w:val="00DA56A4"/>
    <w:rsid w:val="00E1601C"/>
    <w:rsid w:val="00E35455"/>
    <w:rsid w:val="00EB2B73"/>
    <w:rsid w:val="00EB77DD"/>
    <w:rsid w:val="00EC57B5"/>
    <w:rsid w:val="00F03EC2"/>
    <w:rsid w:val="00F53410"/>
    <w:rsid w:val="00FA4E16"/>
    <w:rsid w:val="00FE08FD"/>
    <w:rsid w:val="02DA7AD5"/>
    <w:rsid w:val="07A20778"/>
    <w:rsid w:val="0875363D"/>
    <w:rsid w:val="08E7643E"/>
    <w:rsid w:val="0AB903B7"/>
    <w:rsid w:val="1236663D"/>
    <w:rsid w:val="15155986"/>
    <w:rsid w:val="15F72CBA"/>
    <w:rsid w:val="19C27AC0"/>
    <w:rsid w:val="1C321559"/>
    <w:rsid w:val="1E871148"/>
    <w:rsid w:val="205138FC"/>
    <w:rsid w:val="225564EB"/>
    <w:rsid w:val="23165E81"/>
    <w:rsid w:val="262E332F"/>
    <w:rsid w:val="3195586F"/>
    <w:rsid w:val="33114748"/>
    <w:rsid w:val="3C9B62A5"/>
    <w:rsid w:val="49766A5B"/>
    <w:rsid w:val="49B24E9D"/>
    <w:rsid w:val="4F5817CA"/>
    <w:rsid w:val="570C0BC4"/>
    <w:rsid w:val="576A35BB"/>
    <w:rsid w:val="5A22692E"/>
    <w:rsid w:val="5B1A7BA1"/>
    <w:rsid w:val="5E811B56"/>
    <w:rsid w:val="5EAF647B"/>
    <w:rsid w:val="613967DA"/>
    <w:rsid w:val="6AD678EF"/>
    <w:rsid w:val="77F2537D"/>
    <w:rsid w:val="797634F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8">
    <w:name w:val="Default Paragraph Font"/>
    <w:autoRedefine/>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Balloon Text"/>
    <w:basedOn w:val="1"/>
    <w:link w:val="10"/>
    <w:autoRedefine/>
    <w:semiHidden/>
    <w:unhideWhenUsed/>
    <w:qFormat/>
    <w:uiPriority w:val="99"/>
    <w:rPr>
      <w:sz w:val="18"/>
      <w:szCs w:val="18"/>
    </w:rPr>
  </w:style>
  <w:style w:type="paragraph" w:styleId="3">
    <w:name w:val="footer"/>
    <w:basedOn w:val="1"/>
    <w:link w:val="12"/>
    <w:autoRedefine/>
    <w:semiHidden/>
    <w:unhideWhenUsed/>
    <w:qFormat/>
    <w:uiPriority w:val="99"/>
    <w:pPr>
      <w:tabs>
        <w:tab w:val="center" w:pos="4153"/>
        <w:tab w:val="right" w:pos="8306"/>
      </w:tabs>
      <w:snapToGrid w:val="0"/>
      <w:jc w:val="left"/>
    </w:pPr>
    <w:rPr>
      <w:sz w:val="18"/>
      <w:szCs w:val="18"/>
    </w:rPr>
  </w:style>
  <w:style w:type="paragraph" w:styleId="4">
    <w:name w:val="header"/>
    <w:basedOn w:val="1"/>
    <w:link w:val="11"/>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5">
    <w:name w:val="Normal (Web)"/>
    <w:basedOn w:val="1"/>
    <w:unhideWhenUsed/>
    <w:qFormat/>
    <w:uiPriority w:val="99"/>
    <w:pPr>
      <w:widowControl/>
      <w:spacing w:before="100" w:beforeAutospacing="1" w:after="100" w:afterAutospacing="1"/>
      <w:jc w:val="left"/>
    </w:pPr>
    <w:rPr>
      <w:rFonts w:ascii="宋体" w:hAnsi="宋体" w:eastAsia="宋体" w:cs="宋体"/>
      <w:kern w:val="0"/>
      <w:sz w:val="24"/>
      <w:szCs w:val="24"/>
    </w:rPr>
  </w:style>
  <w:style w:type="table" w:styleId="7">
    <w:name w:val="Table Grid"/>
    <w:basedOn w:val="6"/>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9">
    <w:name w:val="Hyperlink"/>
    <w:basedOn w:val="8"/>
    <w:semiHidden/>
    <w:unhideWhenUsed/>
    <w:qFormat/>
    <w:uiPriority w:val="99"/>
    <w:rPr>
      <w:color w:val="0000FF"/>
      <w:u w:val="single"/>
    </w:rPr>
  </w:style>
  <w:style w:type="character" w:customStyle="1" w:styleId="10">
    <w:name w:val="批注框文本 Char"/>
    <w:basedOn w:val="8"/>
    <w:link w:val="2"/>
    <w:autoRedefine/>
    <w:semiHidden/>
    <w:qFormat/>
    <w:uiPriority w:val="99"/>
    <w:rPr>
      <w:sz w:val="18"/>
      <w:szCs w:val="18"/>
    </w:rPr>
  </w:style>
  <w:style w:type="character" w:customStyle="1" w:styleId="11">
    <w:name w:val="页眉 Char"/>
    <w:basedOn w:val="8"/>
    <w:link w:val="4"/>
    <w:semiHidden/>
    <w:qFormat/>
    <w:uiPriority w:val="99"/>
    <w:rPr>
      <w:sz w:val="18"/>
      <w:szCs w:val="18"/>
    </w:rPr>
  </w:style>
  <w:style w:type="character" w:customStyle="1" w:styleId="12">
    <w:name w:val="页脚 Char"/>
    <w:basedOn w:val="8"/>
    <w:link w:val="3"/>
    <w:autoRedefine/>
    <w:semiHidden/>
    <w:qFormat/>
    <w:uiPriority w:val="99"/>
    <w:rPr>
      <w:sz w:val="18"/>
      <w:szCs w:val="18"/>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image" Target="media/image2.png"/><Relationship Id="rId6" Type="http://schemas.openxmlformats.org/officeDocument/2006/relationships/theme" Target="theme/theme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微软中国</Company>
  <Pages>3</Pages>
  <Words>1783</Words>
  <Characters>1844</Characters>
  <Lines>14</Lines>
  <Paragraphs>3</Paragraphs>
  <TotalTime>15</TotalTime>
  <ScaleCrop>false</ScaleCrop>
  <LinksUpToDate>false</LinksUpToDate>
  <CharactersWithSpaces>1867</CharactersWithSpaces>
  <Application>WPS Office_12.1.0.19302_F1E327BC-269C-435d-A152-05C5408002CA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2021-03-07T09:19:00Z</dcterms:created>
  <dc:creator>微软用户</dc:creator>
  <cp:lastModifiedBy>Administrator</cp:lastModifiedBy>
  <dcterms:modified xsi:type="dcterms:W3CDTF">2026-01-14T10:53:46Z</dcterms:modified>
  <cp:revision>44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2052-12.1.0.19302</vt:lpwstr>
  </property>
  <property fmtid="{D5CDD505-2E9C-101B-9397-08002B2CF9AE}" pid="3" name="ICV">
    <vt:lpwstr>CF17EEC73EB34B0AB43E44F8B1F19396</vt:lpwstr>
  </property>
  <property fmtid="{D5CDD505-2E9C-101B-9397-08002B2CF9AE}" pid="4" name="KSOTemplateDocerSaveRecord">
    <vt:lpwstr>eyJoZGlkIjoiMjJkYmYyOGQwNjU2YTFjYjBlYWQzZDdlZjc2Nzk1ZWYifQ==</vt:lpwstr>
  </property>
</Properties>
</file>