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BDF7E">
      <w:pPr>
        <w:pStyle w:val="5"/>
        <w:snapToGrid w:val="0"/>
        <w:spacing w:line="360" w:lineRule="auto"/>
        <w:ind w:left="3150" w:hanging="3150" w:hangingChars="1500"/>
        <w:contextualSpacing/>
        <w:rPr>
          <w:rFonts w:asciiTheme="majorEastAsia" w:hAnsiTheme="majorEastAsia" w:eastAsiaTheme="majorEastAsia"/>
          <w:b/>
          <w:sz w:val="36"/>
          <w:szCs w:val="36"/>
        </w:rPr>
      </w:pPr>
      <w:r>
        <w:rPr>
          <w:rFonts w:hint="eastAsia" w:asciiTheme="minorEastAsia" w:hAnsiTheme="minorEastAsia" w:eastAsiaTheme="minorEastAsia"/>
          <w:sz w:val="21"/>
          <w:szCs w:val="21"/>
        </w:rPr>
        <w:drawing>
          <wp:inline distT="0" distB="0" distL="0" distR="0">
            <wp:extent cx="5274310" cy="1005205"/>
            <wp:effectExtent l="19050" t="0" r="2540" b="0"/>
            <wp:docPr id="2" name="图片 1" descr="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111.png"/>
                    <pic:cNvPicPr>
                      <a:picLocks noChangeAspect="1"/>
                    </pic:cNvPicPr>
                  </pic:nvPicPr>
                  <pic:blipFill>
                    <a:blip r:embed="rId7" cstate="print"/>
                    <a:stretch>
                      <a:fillRect/>
                    </a:stretch>
                  </pic:blipFill>
                  <pic:spPr>
                    <a:xfrm>
                      <a:off x="0" y="0"/>
                      <a:ext cx="5274310" cy="1005205"/>
                    </a:xfrm>
                    <a:prstGeom prst="rect">
                      <a:avLst/>
                    </a:prstGeom>
                  </pic:spPr>
                </pic:pic>
              </a:graphicData>
            </a:graphic>
          </wp:inline>
        </w:drawing>
      </w:r>
    </w:p>
    <w:p w14:paraId="252E36D2">
      <w:pPr>
        <w:pStyle w:val="5"/>
        <w:snapToGrid w:val="0"/>
        <w:spacing w:line="360" w:lineRule="auto"/>
        <w:ind w:left="2740" w:leftChars="100" w:hanging="2530" w:hangingChars="700"/>
        <w:contextualSpacing/>
        <w:jc w:val="center"/>
        <w:rPr>
          <w:rFonts w:asciiTheme="majorEastAsia" w:hAnsiTheme="majorEastAsia" w:eastAsiaTheme="majorEastAsia"/>
          <w:b/>
          <w:sz w:val="36"/>
          <w:szCs w:val="36"/>
        </w:rPr>
      </w:pPr>
      <w:r>
        <w:rPr>
          <w:rFonts w:asciiTheme="majorEastAsia" w:hAnsiTheme="majorEastAsia" w:eastAsiaTheme="majorEastAsia"/>
          <w:b/>
          <w:sz w:val="36"/>
          <w:szCs w:val="36"/>
        </w:rPr>
        <w:t>江西财经大学</w:t>
      </w:r>
      <w:r>
        <w:rPr>
          <w:rFonts w:hint="eastAsia" w:asciiTheme="majorEastAsia" w:hAnsiTheme="majorEastAsia" w:eastAsiaTheme="majorEastAsia"/>
          <w:b/>
          <w:sz w:val="36"/>
          <w:szCs w:val="36"/>
          <w:lang w:val="en-US" w:eastAsia="zh-CN"/>
        </w:rPr>
        <w:t>设计学专业</w:t>
      </w:r>
      <w:r>
        <w:rPr>
          <w:rFonts w:asciiTheme="majorEastAsia" w:hAnsiTheme="majorEastAsia" w:eastAsiaTheme="majorEastAsia"/>
          <w:b/>
          <w:sz w:val="36"/>
          <w:szCs w:val="36"/>
        </w:rPr>
        <w:t>高级课程研修班</w:t>
      </w:r>
    </w:p>
    <w:p w14:paraId="7FA99196">
      <w:pPr>
        <w:pStyle w:val="5"/>
        <w:snapToGrid w:val="0"/>
        <w:spacing w:line="360" w:lineRule="auto"/>
        <w:ind w:left="2740" w:leftChars="100" w:hanging="2530" w:hangingChars="700"/>
        <w:contextualSpacing/>
        <w:jc w:val="center"/>
        <w:rPr>
          <w:rFonts w:asciiTheme="majorEastAsia" w:hAnsiTheme="majorEastAsia" w:eastAsiaTheme="majorEastAsia"/>
          <w:b/>
          <w:sz w:val="30"/>
          <w:szCs w:val="30"/>
        </w:rPr>
      </w:pPr>
      <w:r>
        <w:rPr>
          <w:rFonts w:asciiTheme="majorEastAsia" w:hAnsiTheme="majorEastAsia" w:eastAsiaTheme="majorEastAsia"/>
          <w:b/>
          <w:sz w:val="36"/>
          <w:szCs w:val="36"/>
        </w:rPr>
        <w:t>招生简章</w:t>
      </w:r>
    </w:p>
    <w:p w14:paraId="7E78B14C">
      <w:pPr>
        <w:pStyle w:val="5"/>
        <w:snapToGrid w:val="0"/>
        <w:spacing w:line="360" w:lineRule="auto"/>
        <w:contextualSpacing/>
        <w:jc w:val="center"/>
        <w:rPr>
          <w:rFonts w:asciiTheme="minorEastAsia" w:hAnsiTheme="minorEastAsia" w:eastAsiaTheme="minorEastAsia"/>
          <w:color w:val="FF0000"/>
          <w:sz w:val="21"/>
          <w:szCs w:val="21"/>
        </w:rPr>
      </w:pPr>
      <w:r>
        <w:rPr>
          <w:rFonts w:hint="eastAsia" w:asciiTheme="minorEastAsia" w:hAnsiTheme="minorEastAsia" w:eastAsiaTheme="minorEastAsia"/>
          <w:color w:val="FF0000"/>
          <w:sz w:val="21"/>
          <w:szCs w:val="21"/>
        </w:rPr>
        <w:t>全国招生，设</w:t>
      </w:r>
      <w:r>
        <w:rPr>
          <w:rFonts w:asciiTheme="minorEastAsia" w:hAnsiTheme="minorEastAsia" w:eastAsiaTheme="minorEastAsia"/>
          <w:color w:val="FF0000"/>
          <w:sz w:val="21"/>
          <w:szCs w:val="21"/>
        </w:rPr>
        <w:t>网络教学</w:t>
      </w:r>
    </w:p>
    <w:p w14:paraId="18EEC767">
      <w:pPr>
        <w:pStyle w:val="5"/>
        <w:snapToGrid w:val="0"/>
        <w:spacing w:line="360" w:lineRule="auto"/>
        <w:contextualSpacing/>
        <w:rPr>
          <w:rFonts w:hint="default" w:asciiTheme="minorEastAsia" w:hAnsiTheme="minorEastAsia" w:eastAsiaTheme="minorEastAsia"/>
          <w:sz w:val="21"/>
          <w:szCs w:val="21"/>
          <w:lang w:val="en-US" w:eastAsia="zh-CN"/>
        </w:rPr>
      </w:pPr>
    </w:p>
    <w:p w14:paraId="56802D57">
      <w:pPr>
        <w:pStyle w:val="5"/>
        <w:numPr>
          <w:ilvl w:val="0"/>
          <w:numId w:val="1"/>
        </w:numPr>
        <w:snapToGrid w:val="0"/>
        <w:spacing w:line="360" w:lineRule="auto"/>
        <w:contextualSpacing/>
        <w:rPr>
          <w:rFonts w:hint="eastAsia"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院校简介：</w:t>
      </w:r>
    </w:p>
    <w:p w14:paraId="32ECEC8B">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江西财经大学是一所财政部、教育部、江西省人民政府共建，以经济、管理类学科为主，法、工、文、理、艺术、教育等学科协调发展的高等财经学府。江西财经大学研究生教育肇始于1985年，1998年获批博士学位授予权，2004年获批博士后科研流动站。经过三十多年的发展，已经形成了一个从硕士到博士后、从学术学位到专业学位、从全日制到在职等多层次的研究生教育体系。现有经济学、管理学、法学、工学、文学、理学、艺术学等学科门类；拥有应用经济学、理论经济学、管理科学与工程、工商管理学、统计学、法学、马克思主义理论共7个博士后流动站；应用经济学、理论经济学、管理科学与工程、工商管理学、统计学、法学、马克思主义理论共7个一级博士学位授权点，42个二级博士学位授权点，15个一级硕士学位授权点，74个二级硕士学位授权点，21个专业硕士学位授权点，52个本科专业。</w:t>
      </w:r>
    </w:p>
    <w:p w14:paraId="28A7597A">
      <w:pPr>
        <w:pStyle w:val="5"/>
        <w:widowControl/>
        <w:numPr>
          <w:ilvl w:val="0"/>
          <w:numId w:val="0"/>
        </w:numPr>
        <w:snapToGrid w:val="0"/>
        <w:spacing w:before="100" w:beforeAutospacing="1" w:after="100" w:afterAutospacing="1" w:line="360" w:lineRule="auto"/>
        <w:ind w:firstLine="420"/>
        <w:contextualSpacing/>
        <w:jc w:val="left"/>
        <w:rPr>
          <w:rFonts w:hint="eastAsia" w:asciiTheme="minorEastAsia" w:hAnsiTheme="minorEastAsia" w:eastAsiaTheme="minorEastAsia"/>
          <w:b w:val="0"/>
          <w:bCs w:val="0"/>
          <w:sz w:val="21"/>
          <w:szCs w:val="21"/>
          <w:lang w:val="en-US" w:eastAsia="zh-CN"/>
        </w:rPr>
      </w:pPr>
      <w:bookmarkStart w:id="0" w:name="_Hlk75270359"/>
      <w:r>
        <w:rPr>
          <w:rFonts w:hint="eastAsia" w:asciiTheme="minorEastAsia" w:hAnsiTheme="minorEastAsia" w:eastAsiaTheme="minorEastAsia"/>
          <w:b w:val="0"/>
          <w:bCs w:val="0"/>
          <w:sz w:val="21"/>
          <w:szCs w:val="21"/>
          <w:lang w:val="en-US" w:eastAsia="zh-CN"/>
        </w:rPr>
        <w:t>继续教育学院创办于1981年，承担了学校非学历教育培训、高等学历继续教育、高等教育自学考试等办学任务。40多年来，我校继续教育办学声誉卓著，多次荣获国家财政部、教育部、国家考委、江西省教育厅授予的先进荣誉称号。学院为社会经济发展输送各类毕业生13万余人、培训在职职工10多万人，他们中有的成为了所在单位的业务骨干，有的成了成功的创业者、企业家，有的在政府机关、事业单位或国有企业中担任了领导职务，为促进经济社会发展做出了重要贡献。</w:t>
      </w:r>
    </w:p>
    <w:bookmarkEnd w:id="0"/>
    <w:p w14:paraId="33B5464D">
      <w:pPr>
        <w:pStyle w:val="5"/>
        <w:widowControl/>
        <w:numPr>
          <w:ilvl w:val="0"/>
          <w:numId w:val="0"/>
        </w:numPr>
        <w:snapToGrid w:val="0"/>
        <w:spacing w:before="100" w:beforeAutospacing="1" w:after="100" w:afterAutospacing="1" w:line="360" w:lineRule="auto"/>
        <w:ind w:firstLine="420"/>
        <w:contextualSpacing/>
        <w:jc w:val="left"/>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设计学是一门多学科交叉的新兴学科，涉及到社会科学和自然科学等广泛领域，是艺术与科技相融合并与市场经济相接轨的实用美术学科。艺术设计具有物质与精神、实用与审美的双重属性。设计学研究目的在于运用设计规律和艺术的手段，融合特定的科学技术，将现代科技成果应用于设计之中，并赋予人文和审美的精神特征，为人类创造出既有审美内涵，又有实用价值的生产与生活物品。</w:t>
      </w:r>
    </w:p>
    <w:p w14:paraId="060D3C49">
      <w:pPr>
        <w:pStyle w:val="5"/>
        <w:widowControl/>
        <w:numPr>
          <w:ilvl w:val="0"/>
          <w:numId w:val="0"/>
        </w:numPr>
        <w:snapToGrid w:val="0"/>
        <w:spacing w:before="100" w:beforeAutospacing="1" w:after="100" w:afterAutospacing="1" w:line="360" w:lineRule="auto"/>
        <w:ind w:firstLine="420"/>
        <w:contextualSpacing/>
        <w:jc w:val="left"/>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2026年现招收设计学专业研修课程培训班学员，为社会各界提供优秀硕士研究生专业人才。</w:t>
      </w:r>
    </w:p>
    <w:p w14:paraId="3A02E844">
      <w:pPr>
        <w:pStyle w:val="5"/>
        <w:numPr>
          <w:ilvl w:val="0"/>
          <w:numId w:val="1"/>
        </w:numPr>
        <w:snapToGrid w:val="0"/>
        <w:spacing w:line="360" w:lineRule="auto"/>
        <w:contextualSpacing/>
        <w:rPr>
          <w:rFonts w:hint="default" w:cs="宋体" w:asciiTheme="minorEastAsia" w:hAnsiTheme="minorEastAsia" w:eastAsiaTheme="minorEastAsia"/>
          <w:b w:val="0"/>
          <w:bCs w:val="0"/>
          <w:sz w:val="21"/>
          <w:szCs w:val="21"/>
          <w:lang w:val="en-US" w:eastAsia="zh-CN"/>
        </w:rPr>
      </w:pPr>
      <w:r>
        <w:rPr>
          <w:rFonts w:hint="eastAsia" w:asciiTheme="minorEastAsia" w:hAnsiTheme="minorEastAsia" w:eastAsiaTheme="minorEastAsia"/>
          <w:b/>
          <w:bCs/>
          <w:sz w:val="24"/>
          <w:szCs w:val="24"/>
          <w:lang w:val="en-US" w:eastAsia="zh-CN"/>
        </w:rPr>
        <w:t>培养目标：</w:t>
      </w:r>
    </w:p>
    <w:p w14:paraId="78EB586C">
      <w:pPr>
        <w:pStyle w:val="5"/>
        <w:widowControl/>
        <w:numPr>
          <w:ilvl w:val="0"/>
          <w:numId w:val="0"/>
        </w:numPr>
        <w:snapToGrid w:val="0"/>
        <w:spacing w:before="100" w:beforeAutospacing="1" w:after="100" w:afterAutospacing="1" w:line="360" w:lineRule="auto"/>
        <w:ind w:firstLine="420" w:firstLineChars="200"/>
        <w:contextualSpacing/>
        <w:jc w:val="left"/>
        <w:rPr>
          <w:rFonts w:hint="default" w:cs="宋体" w:asciiTheme="minorEastAsia" w:hAnsiTheme="minorEastAsia" w:eastAsiaTheme="minorEastAsia"/>
          <w:b w:val="0"/>
          <w:bCs w:val="0"/>
          <w:sz w:val="21"/>
          <w:szCs w:val="21"/>
          <w:lang w:val="en-US" w:eastAsia="zh-CN"/>
        </w:rPr>
      </w:pPr>
      <w:r>
        <w:rPr>
          <w:rFonts w:hint="eastAsia" w:cs="宋体" w:asciiTheme="minorEastAsia" w:hAnsiTheme="minorEastAsia" w:eastAsiaTheme="minorEastAsia"/>
          <w:b w:val="0"/>
          <w:bCs w:val="0"/>
          <w:sz w:val="21"/>
          <w:szCs w:val="21"/>
          <w:lang w:val="en-US" w:eastAsia="zh-CN"/>
        </w:rPr>
        <w:t>本专业主要培养学生系统地掌握掌握本学科坚实的理论基础和系统的专门知识，了解本学科的基本历史、现状和发展前沿，掌握设计学的研究方法、技术手段和评价技术，能选择恰当的研究方向、合理运用科学方法独立展开学术研究或设计实践；能了解相关学科发展动态并能结合于实践运用，具有整合多种学科知识、创造性解决问题的能力。培养能够胜任高校、科研院所、各级政府部门及相关设计单位所需要的教学、研究、艺术设计实践、艺术设计活动管理策划和组织等工作的设计相关领域专业人才。</w:t>
      </w:r>
    </w:p>
    <w:p w14:paraId="04A8FE2C">
      <w:pPr>
        <w:pStyle w:val="5"/>
        <w:widowControl/>
        <w:numPr>
          <w:ilvl w:val="0"/>
          <w:numId w:val="0"/>
        </w:numPr>
        <w:snapToGrid w:val="0"/>
        <w:spacing w:before="100" w:beforeAutospacing="1" w:after="100" w:afterAutospacing="1" w:line="360" w:lineRule="auto"/>
        <w:contextualSpacing/>
        <w:jc w:val="left"/>
        <w:rPr>
          <w:rFonts w:hint="default" w:cs="宋体" w:asciiTheme="minorEastAsia" w:hAnsiTheme="minorEastAsia" w:eastAsiaTheme="minorEastAsia"/>
          <w:b w:val="0"/>
          <w:bCs w:val="0"/>
          <w:sz w:val="21"/>
          <w:szCs w:val="21"/>
          <w:lang w:val="en-US" w:eastAsia="zh-CN"/>
        </w:rPr>
      </w:pPr>
    </w:p>
    <w:p w14:paraId="2E776594">
      <w:pPr>
        <w:pStyle w:val="5"/>
        <w:numPr>
          <w:ilvl w:val="0"/>
          <w:numId w:val="1"/>
        </w:numPr>
        <w:snapToGrid w:val="0"/>
        <w:spacing w:line="360" w:lineRule="auto"/>
        <w:contextualSpacing/>
        <w:rPr>
          <w:rFonts w:ascii="Times New Roman" w:hAnsi="Times New Roman"/>
        </w:rPr>
      </w:pPr>
      <w:r>
        <w:rPr>
          <w:rFonts w:hint="eastAsia" w:asciiTheme="minorEastAsia" w:hAnsiTheme="minorEastAsia" w:eastAsiaTheme="minorEastAsia"/>
          <w:b/>
          <w:bCs/>
          <w:sz w:val="24"/>
          <w:szCs w:val="24"/>
          <w:lang w:val="en-US" w:eastAsia="zh-CN"/>
        </w:rPr>
        <w:t>培养优势：</w:t>
      </w:r>
    </w:p>
    <w:p w14:paraId="7B5E7F2A">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免试入学</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大专以上即可报名，</w:t>
      </w:r>
      <w:r>
        <w:rPr>
          <w:rFonts w:hint="eastAsia" w:asciiTheme="minorEastAsia" w:hAnsiTheme="minorEastAsia" w:eastAsiaTheme="minorEastAsia" w:cstheme="minorEastAsia"/>
          <w:sz w:val="21"/>
          <w:szCs w:val="21"/>
        </w:rPr>
        <w:t>先学习再考试，有足够充分的准备和学习课程的时间；</w:t>
      </w:r>
    </w:p>
    <w:p w14:paraId="1BB30C96">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学习方式灵活</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lang w:val="en-US" w:eastAsia="zh-CN"/>
        </w:rPr>
        <w:t>授课方式采用线上线下灵活教学方式，社会在职人员可以边学习边工作，灵活学习</w:t>
      </w:r>
      <w:r>
        <w:rPr>
          <w:rFonts w:hint="eastAsia" w:asciiTheme="minorEastAsia" w:hAnsiTheme="minorEastAsia" w:eastAsiaTheme="minorEastAsia" w:cstheme="minorEastAsia"/>
          <w:sz w:val="21"/>
          <w:szCs w:val="21"/>
        </w:rPr>
        <w:t>；</w:t>
      </w:r>
    </w:p>
    <w:p w14:paraId="352DAC40">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师资队伍</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学校拥有结构合理、素质优良、可持续发展的师资队伍，国内外330余名著名学者、专家和企业家受聘为学校客座教授；</w:t>
      </w:r>
    </w:p>
    <w:p w14:paraId="223775EF">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【申硕机会多】</w:t>
      </w:r>
      <w:r>
        <w:rPr>
          <w:rFonts w:hint="eastAsia" w:asciiTheme="minorEastAsia" w:hAnsiTheme="minorEastAsia" w:eastAsiaTheme="minorEastAsia" w:cstheme="minorEastAsia"/>
          <w:b w:val="0"/>
          <w:bCs w:val="0"/>
          <w:sz w:val="21"/>
          <w:szCs w:val="21"/>
          <w:lang w:val="en-US" w:eastAsia="zh-CN"/>
        </w:rPr>
        <w:t>：完成课业安排，只要达到申硕条件者，可申请4年内每年参加同等学力申硕考试；</w:t>
      </w:r>
    </w:p>
    <w:p w14:paraId="6C50DFB4">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结交人脉</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可享受与在校生同等的电子数据资源，获得校友人脉资源，结交高端人脉。</w:t>
      </w:r>
    </w:p>
    <w:p w14:paraId="4048668F">
      <w:pPr>
        <w:pStyle w:val="5"/>
        <w:numPr>
          <w:ilvl w:val="0"/>
          <w:numId w:val="0"/>
        </w:numPr>
        <w:snapToGrid w:val="0"/>
        <w:spacing w:line="360" w:lineRule="auto"/>
        <w:contextualSpacing/>
        <w:rPr>
          <w:rFonts w:hint="eastAsia" w:asciiTheme="minorEastAsia" w:hAnsiTheme="minorEastAsia" w:eastAsiaTheme="minorEastAsia" w:cstheme="minorEastAsia"/>
          <w:b/>
          <w:bCs/>
          <w:sz w:val="21"/>
          <w:szCs w:val="21"/>
          <w:lang w:val="en-US" w:eastAsia="zh-CN"/>
        </w:rPr>
      </w:pPr>
    </w:p>
    <w:p w14:paraId="7BAF8448">
      <w:pPr>
        <w:pStyle w:val="5"/>
        <w:numPr>
          <w:ilvl w:val="0"/>
          <w:numId w:val="1"/>
        </w:numPr>
        <w:snapToGrid w:val="0"/>
        <w:spacing w:line="360" w:lineRule="auto"/>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课程设置：</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402"/>
        <w:gridCol w:w="3311"/>
      </w:tblGrid>
      <w:tr w14:paraId="0BB6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3"/>
          </w:tcPr>
          <w:p w14:paraId="4625880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cstheme="minorEastAsia"/>
                <w:b/>
                <w:sz w:val="21"/>
                <w:szCs w:val="21"/>
                <w:lang w:val="en-US" w:eastAsia="zh-CN"/>
              </w:rPr>
              <w:t>设计学</w:t>
            </w:r>
            <w:r>
              <w:rPr>
                <w:rFonts w:hint="eastAsia" w:asciiTheme="minorEastAsia" w:hAnsiTheme="minorEastAsia" w:eastAsiaTheme="minorEastAsia" w:cstheme="minorEastAsia"/>
                <w:b/>
                <w:sz w:val="21"/>
                <w:szCs w:val="21"/>
              </w:rPr>
              <w:t>专业课程</w:t>
            </w:r>
          </w:p>
        </w:tc>
      </w:tr>
      <w:tr w14:paraId="7E75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55C1E3FE">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b/>
                <w:bCs/>
                <w:sz w:val="21"/>
                <w:szCs w:val="21"/>
                <w:lang w:val="en-US" w:eastAsia="zh-CN"/>
              </w:rPr>
              <w:t>学位课</w:t>
            </w:r>
          </w:p>
        </w:tc>
        <w:tc>
          <w:tcPr>
            <w:tcW w:w="3402" w:type="dxa"/>
          </w:tcPr>
          <w:p w14:paraId="35F736DB">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中国特色社会主义理论与实践</w:t>
            </w:r>
          </w:p>
        </w:tc>
        <w:tc>
          <w:tcPr>
            <w:tcW w:w="3311" w:type="dxa"/>
          </w:tcPr>
          <w:p w14:paraId="01164461">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公共英语</w:t>
            </w:r>
          </w:p>
        </w:tc>
      </w:tr>
      <w:tr w14:paraId="612D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659E6F2A">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05CF03F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科学社会主义理论与实践</w:t>
            </w:r>
          </w:p>
        </w:tc>
        <w:tc>
          <w:tcPr>
            <w:tcW w:w="3311" w:type="dxa"/>
          </w:tcPr>
          <w:p w14:paraId="5486C919">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p>
        </w:tc>
      </w:tr>
      <w:tr w14:paraId="55AC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239E51B3">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必修课</w:t>
            </w:r>
          </w:p>
        </w:tc>
        <w:tc>
          <w:tcPr>
            <w:tcW w:w="3402" w:type="dxa"/>
          </w:tcPr>
          <w:p w14:paraId="195C0438">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设计学原理</w:t>
            </w:r>
          </w:p>
        </w:tc>
        <w:tc>
          <w:tcPr>
            <w:tcW w:w="3311" w:type="dxa"/>
          </w:tcPr>
          <w:p w14:paraId="1ABFD0C2">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设计心理学</w:t>
            </w:r>
          </w:p>
        </w:tc>
      </w:tr>
      <w:tr w14:paraId="14C3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4A88273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0F03D871">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设计管理学</w:t>
            </w:r>
          </w:p>
        </w:tc>
        <w:tc>
          <w:tcPr>
            <w:tcW w:w="3311" w:type="dxa"/>
          </w:tcPr>
          <w:p w14:paraId="38A5EF6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设计学研究方法论</w:t>
            </w:r>
          </w:p>
        </w:tc>
      </w:tr>
      <w:tr w14:paraId="298A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3127D175">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7F0AA4BA">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建筑室内设计研究</w:t>
            </w:r>
          </w:p>
        </w:tc>
        <w:tc>
          <w:tcPr>
            <w:tcW w:w="3311" w:type="dxa"/>
          </w:tcPr>
          <w:p w14:paraId="1A8845BA">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设计思维</w:t>
            </w:r>
          </w:p>
        </w:tc>
      </w:tr>
      <w:tr w14:paraId="127C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12A65DBA">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00D9CC15">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艺术美学</w:t>
            </w:r>
          </w:p>
        </w:tc>
        <w:tc>
          <w:tcPr>
            <w:tcW w:w="3311" w:type="dxa"/>
          </w:tcPr>
          <w:p w14:paraId="21E8435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设计政策与法规研究</w:t>
            </w:r>
          </w:p>
        </w:tc>
      </w:tr>
      <w:tr w14:paraId="1D04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809" w:type="dxa"/>
            <w:vMerge w:val="restart"/>
            <w:vAlign w:val="center"/>
          </w:tcPr>
          <w:p w14:paraId="2C4FC280">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选修课</w:t>
            </w:r>
          </w:p>
        </w:tc>
        <w:tc>
          <w:tcPr>
            <w:tcW w:w="3402" w:type="dxa"/>
          </w:tcPr>
          <w:p w14:paraId="73AB7FA9">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景观测量学</w:t>
            </w:r>
          </w:p>
        </w:tc>
        <w:tc>
          <w:tcPr>
            <w:tcW w:w="3311" w:type="dxa"/>
          </w:tcPr>
          <w:p w14:paraId="42F7798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现代设计赏析</w:t>
            </w:r>
          </w:p>
        </w:tc>
      </w:tr>
      <w:tr w14:paraId="5EE3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vAlign w:val="center"/>
          </w:tcPr>
          <w:p w14:paraId="04CD39BE">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eastAsia" w:asciiTheme="minorEastAsia" w:hAnsiTheme="minorEastAsia" w:cstheme="minorEastAsia"/>
                <w:b/>
                <w:bCs/>
                <w:sz w:val="21"/>
                <w:szCs w:val="21"/>
                <w:lang w:val="en-US" w:eastAsia="zh-CN"/>
              </w:rPr>
            </w:pPr>
          </w:p>
        </w:tc>
        <w:tc>
          <w:tcPr>
            <w:tcW w:w="3402" w:type="dxa"/>
          </w:tcPr>
          <w:p w14:paraId="6908569B">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文化创意产品设计</w:t>
            </w:r>
          </w:p>
        </w:tc>
        <w:tc>
          <w:tcPr>
            <w:tcW w:w="3311" w:type="dxa"/>
          </w:tcPr>
          <w:p w14:paraId="2A6F1E0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艺术品市场营销</w:t>
            </w:r>
          </w:p>
        </w:tc>
      </w:tr>
    </w:tbl>
    <w:p w14:paraId="0DC3327B">
      <w:pPr>
        <w:pStyle w:val="5"/>
        <w:keepNext w:val="0"/>
        <w:keepLines w:val="0"/>
        <w:pageBreakBefore w:val="0"/>
        <w:kinsoku/>
        <w:wordWrap/>
        <w:overflowPunct/>
        <w:topLinePunct w:val="0"/>
        <w:autoSpaceDE/>
        <w:autoSpaceDN/>
        <w:bidi w:val="0"/>
        <w:adjustRightInd/>
        <w:snapToGrid w:val="0"/>
        <w:spacing w:beforeAutospacing="0" w:afterAutospacing="0" w:line="360" w:lineRule="auto"/>
        <w:contextualSpacing/>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注：部分课程教学参照</w:t>
      </w:r>
      <w:r>
        <w:rPr>
          <w:rFonts w:hint="eastAsia" w:asciiTheme="minorEastAsia" w:hAnsiTheme="minorEastAsia" w:eastAsiaTheme="minorEastAsia" w:cstheme="minorEastAsia"/>
          <w:sz w:val="21"/>
          <w:szCs w:val="21"/>
          <w:lang w:val="en-US" w:eastAsia="zh-CN"/>
        </w:rPr>
        <w:t>实际</w:t>
      </w:r>
    </w:p>
    <w:p w14:paraId="66832F7E">
      <w:pPr>
        <w:pStyle w:val="5"/>
        <w:keepNext w:val="0"/>
        <w:keepLines w:val="0"/>
        <w:pageBreakBefore w:val="0"/>
        <w:kinsoku/>
        <w:wordWrap/>
        <w:overflowPunct/>
        <w:topLinePunct w:val="0"/>
        <w:autoSpaceDE/>
        <w:autoSpaceDN/>
        <w:bidi w:val="0"/>
        <w:adjustRightInd/>
        <w:snapToGrid w:val="0"/>
        <w:spacing w:beforeAutospacing="0" w:afterAutospacing="0" w:line="360" w:lineRule="auto"/>
        <w:contextualSpacing/>
        <w:textAlignment w:val="auto"/>
        <w:rPr>
          <w:rFonts w:hint="eastAsia" w:asciiTheme="minorEastAsia" w:hAnsiTheme="minorEastAsia" w:eastAsiaTheme="minorEastAsia" w:cstheme="minorEastAsia"/>
          <w:sz w:val="21"/>
          <w:szCs w:val="21"/>
          <w:lang w:val="en-US" w:eastAsia="zh-CN"/>
        </w:rPr>
      </w:pPr>
    </w:p>
    <w:p w14:paraId="4ABF4274">
      <w:pPr>
        <w:pStyle w:val="5"/>
        <w:keepNext w:val="0"/>
        <w:keepLines w:val="0"/>
        <w:pageBreakBefore w:val="0"/>
        <w:kinsoku/>
        <w:wordWrap/>
        <w:overflowPunct/>
        <w:topLinePunct w:val="0"/>
        <w:autoSpaceDE/>
        <w:autoSpaceDN/>
        <w:bidi w:val="0"/>
        <w:adjustRightInd/>
        <w:snapToGrid w:val="0"/>
        <w:spacing w:beforeAutospacing="0" w:afterAutospacing="0" w:line="360" w:lineRule="auto"/>
        <w:contextualSpacing/>
        <w:textAlignment w:val="auto"/>
        <w:rPr>
          <w:rFonts w:hint="default" w:asciiTheme="minorEastAsia" w:hAnsiTheme="minorEastAsia" w:eastAsiaTheme="minorEastAsia" w:cstheme="minorEastAsia"/>
          <w:sz w:val="21"/>
          <w:szCs w:val="21"/>
          <w:lang w:val="en-US" w:eastAsia="zh-CN"/>
        </w:rPr>
      </w:pPr>
    </w:p>
    <w:p w14:paraId="145D23BE">
      <w:pPr>
        <w:pStyle w:val="5"/>
        <w:numPr>
          <w:ilvl w:val="0"/>
          <w:numId w:val="1"/>
        </w:numPr>
        <w:snapToGrid w:val="0"/>
        <w:spacing w:line="360" w:lineRule="auto"/>
        <w:contextualSpacing/>
        <w:rPr>
          <w:rFonts w:hint="eastAsia" w:asciiTheme="minorEastAsia" w:hAnsiTheme="minorEastAsia" w:cstheme="minorEastAsia"/>
          <w:kern w:val="0"/>
          <w:sz w:val="21"/>
          <w:szCs w:val="21"/>
          <w:lang w:val="en-US" w:eastAsia="zh-CN" w:bidi="ar-SA"/>
        </w:rPr>
      </w:pPr>
      <w:r>
        <w:rPr>
          <w:rFonts w:hint="eastAsia" w:asciiTheme="minorEastAsia" w:hAnsiTheme="minorEastAsia" w:eastAsiaTheme="minorEastAsia"/>
          <w:b/>
          <w:bCs/>
          <w:sz w:val="24"/>
          <w:szCs w:val="24"/>
          <w:lang w:val="en-US" w:eastAsia="zh-CN"/>
        </w:rPr>
        <w:t>报名条件：</w:t>
      </w:r>
    </w:p>
    <w:p w14:paraId="4EDE9DE2">
      <w:pPr>
        <w:pStyle w:val="5"/>
        <w:numPr>
          <w:ilvl w:val="0"/>
          <w:numId w:val="3"/>
        </w:numPr>
        <w:snapToGrid w:val="0"/>
        <w:spacing w:line="360" w:lineRule="auto"/>
        <w:ind w:firstLine="420" w:firstLineChars="200"/>
        <w:contextualSpacing/>
        <w:rPr>
          <w:rFonts w:hint="eastAsia" w:asciiTheme="minorEastAsia" w:hAnsi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大专以上学历者即可报名；</w:t>
      </w:r>
    </w:p>
    <w:p w14:paraId="2D62794D">
      <w:pPr>
        <w:pStyle w:val="5"/>
        <w:numPr>
          <w:ilvl w:val="0"/>
          <w:numId w:val="0"/>
        </w:numPr>
        <w:snapToGrid w:val="0"/>
        <w:spacing w:line="360" w:lineRule="auto"/>
        <w:ind w:firstLine="420" w:firstLineChars="200"/>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cstheme="minorEastAsia"/>
          <w:kern w:val="0"/>
          <w:sz w:val="21"/>
          <w:szCs w:val="21"/>
          <w:lang w:val="en-US" w:eastAsia="zh-CN" w:bidi="ar-SA"/>
        </w:rPr>
        <w:t>2、大学本科毕业并获得学士学位后工作3年以上</w:t>
      </w:r>
      <w:r>
        <w:rPr>
          <w:rFonts w:hint="eastAsia" w:asciiTheme="minorEastAsia" w:hAnsiTheme="minorEastAsia" w:cstheme="minorEastAsia"/>
          <w:kern w:val="0"/>
          <w:sz w:val="21"/>
          <w:szCs w:val="21"/>
          <w:lang w:val="en-US" w:eastAsia="zh-CN" w:bidi="ar-SA"/>
        </w:rPr>
        <w:t>，</w:t>
      </w:r>
      <w:r>
        <w:rPr>
          <w:rFonts w:hint="eastAsia" w:asciiTheme="minorEastAsia" w:hAnsiTheme="minorEastAsia" w:eastAsiaTheme="minorEastAsia" w:cstheme="minorEastAsia"/>
          <w:kern w:val="0"/>
          <w:sz w:val="21"/>
          <w:szCs w:val="21"/>
          <w:lang w:val="en-US" w:eastAsia="zh-CN" w:bidi="ar-SA"/>
        </w:rPr>
        <w:t>虽无学士学位但已获得硕士或博士学位者</w:t>
      </w:r>
      <w:r>
        <w:rPr>
          <w:rFonts w:hint="eastAsia" w:asciiTheme="minorEastAsia" w:hAnsiTheme="minorEastAsia" w:cstheme="minorEastAsia"/>
          <w:kern w:val="0"/>
          <w:sz w:val="21"/>
          <w:szCs w:val="21"/>
          <w:lang w:val="en-US" w:eastAsia="zh-CN" w:bidi="ar-SA"/>
        </w:rPr>
        <w:t>；</w:t>
      </w:r>
    </w:p>
    <w:p w14:paraId="6B20D4BB">
      <w:pPr>
        <w:pStyle w:val="5"/>
        <w:numPr>
          <w:ilvl w:val="0"/>
          <w:numId w:val="0"/>
        </w:numPr>
        <w:snapToGrid w:val="0"/>
        <w:spacing w:line="360" w:lineRule="auto"/>
        <w:ind w:firstLine="420" w:firstLineChars="200"/>
        <w:contextualSpacing/>
        <w:rPr>
          <w:rFonts w:hint="eastAsia" w:asciiTheme="minorEastAsia" w:hAnsi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3、</w:t>
      </w:r>
      <w:r>
        <w:rPr>
          <w:rFonts w:hint="eastAsia" w:asciiTheme="minorEastAsia" w:hAnsiTheme="minorEastAsia" w:eastAsiaTheme="minorEastAsia" w:cstheme="minorEastAsia"/>
          <w:kern w:val="0"/>
          <w:sz w:val="21"/>
          <w:szCs w:val="21"/>
          <w:lang w:val="en-US" w:eastAsia="zh-CN" w:bidi="ar-SA"/>
        </w:rPr>
        <w:t>通过教育部留学服务中心认证的国（境）外学士、硕士或博士学位获得者</w:t>
      </w:r>
      <w:r>
        <w:rPr>
          <w:rFonts w:hint="eastAsia" w:asciiTheme="minorEastAsia" w:hAnsiTheme="minorEastAsia" w:cstheme="minorEastAsia"/>
          <w:kern w:val="0"/>
          <w:sz w:val="21"/>
          <w:szCs w:val="21"/>
          <w:lang w:val="en-US" w:eastAsia="zh-CN" w:bidi="ar-SA"/>
        </w:rPr>
        <w:t>。</w:t>
      </w:r>
    </w:p>
    <w:p w14:paraId="5DA1A49A">
      <w:pPr>
        <w:pStyle w:val="5"/>
        <w:numPr>
          <w:ilvl w:val="0"/>
          <w:numId w:val="0"/>
        </w:numPr>
        <w:snapToGrid w:val="0"/>
        <w:spacing w:line="360" w:lineRule="auto"/>
        <w:contextualSpacing/>
        <w:rPr>
          <w:rFonts w:hint="default" w:asciiTheme="minorEastAsia" w:hAnsiTheme="minorEastAsia" w:cstheme="minorEastAsia"/>
          <w:kern w:val="0"/>
          <w:sz w:val="21"/>
          <w:szCs w:val="21"/>
          <w:lang w:val="en-US" w:eastAsia="zh-CN" w:bidi="ar-SA"/>
        </w:rPr>
      </w:pPr>
    </w:p>
    <w:p w14:paraId="033E7185">
      <w:pPr>
        <w:pStyle w:val="5"/>
        <w:numPr>
          <w:ilvl w:val="0"/>
          <w:numId w:val="1"/>
        </w:numPr>
        <w:snapToGrid w:val="0"/>
        <w:spacing w:line="360" w:lineRule="auto"/>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报名材料：</w:t>
      </w:r>
    </w:p>
    <w:p w14:paraId="72A35EEF">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1、本人持二代居民身份证原件及复印件；</w:t>
      </w:r>
    </w:p>
    <w:p w14:paraId="5B96B4F5">
      <w:pPr>
        <w:pStyle w:val="5"/>
        <w:widowControl/>
        <w:numPr>
          <w:ilvl w:val="0"/>
          <w:numId w:val="0"/>
        </w:numPr>
        <w:snapToGrid w:val="0"/>
        <w:spacing w:before="100" w:beforeAutospacing="1" w:after="100" w:afterAutospacing="1" w:line="360" w:lineRule="auto"/>
        <w:ind w:firstLine="420" w:firstLineChars="200"/>
        <w:contextualSpacing/>
        <w:jc w:val="lef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2、本人学历和学位证书、毕业证书原件及复印件；</w:t>
      </w:r>
    </w:p>
    <w:p w14:paraId="51362BA7">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3、近期2张蓝底一寸照片2张蓝底二寸照片；</w:t>
      </w:r>
    </w:p>
    <w:p w14:paraId="18151B6A">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6DA912C9">
      <w:pPr>
        <w:pStyle w:val="5"/>
        <w:numPr>
          <w:ilvl w:val="0"/>
          <w:numId w:val="1"/>
        </w:numPr>
        <w:snapToGrid w:val="0"/>
        <w:spacing w:line="360" w:lineRule="auto"/>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培养方式和学制：</w:t>
      </w:r>
    </w:p>
    <w:p w14:paraId="566292B1">
      <w:pPr>
        <w:pStyle w:val="5"/>
        <w:widowControl/>
        <w:numPr>
          <w:ilvl w:val="0"/>
          <w:numId w:val="0"/>
        </w:numPr>
        <w:snapToGrid w:val="0"/>
        <w:spacing w:before="100" w:beforeAutospacing="1" w:after="100" w:afterAutospacing="1" w:line="360" w:lineRule="auto"/>
        <w:ind w:firstLine="481"/>
        <w:contextualSpacing/>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教学方式：每月集中双休日采用线上授课，</w:t>
      </w:r>
      <w:r>
        <w:rPr>
          <w:rFonts w:hint="eastAsia" w:ascii="仿宋" w:hAnsi="仿宋" w:cs="仿宋"/>
          <w:b w:val="0"/>
          <w:bCs w:val="0"/>
          <w:color w:val="000000"/>
          <w:spacing w:val="1"/>
          <w:sz w:val="21"/>
          <w:szCs w:val="21"/>
          <w:lang w:val="en-US" w:eastAsia="zh-CN"/>
        </w:rPr>
        <w:t>（授课采取线上为主的方式教学）</w:t>
      </w:r>
      <w:r>
        <w:rPr>
          <w:rFonts w:hint="eastAsia" w:asciiTheme="minorEastAsia" w:hAnsiTheme="minorEastAsia" w:eastAsiaTheme="minorEastAsia" w:cstheme="minorEastAsia"/>
          <w:sz w:val="21"/>
          <w:szCs w:val="21"/>
          <w:lang w:val="en-US" w:eastAsia="zh-CN"/>
        </w:rPr>
        <w:t>；</w:t>
      </w:r>
    </w:p>
    <w:p w14:paraId="042B64F7">
      <w:pPr>
        <w:pStyle w:val="5"/>
        <w:widowControl/>
        <w:numPr>
          <w:ilvl w:val="0"/>
          <w:numId w:val="0"/>
        </w:numPr>
        <w:snapToGrid w:val="0"/>
        <w:spacing w:before="100" w:beforeAutospacing="1" w:after="100" w:afterAutospacing="1" w:line="360" w:lineRule="auto"/>
        <w:ind w:firstLine="481"/>
        <w:contextualSpacing/>
        <w:jc w:val="left"/>
        <w:rPr>
          <w:rFonts w:hint="eastAsia" w:asciiTheme="minorEastAsia" w:hAnsiTheme="minorEastAsia" w:eastAsiaTheme="minorEastAsia"/>
          <w:b/>
          <w:bCs/>
          <w:sz w:val="24"/>
          <w:szCs w:val="24"/>
          <w:lang w:val="en-US" w:eastAsia="zh-CN"/>
        </w:rPr>
      </w:pPr>
      <w:r>
        <w:rPr>
          <w:rFonts w:hint="eastAsia" w:asciiTheme="minorEastAsia" w:hAnsiTheme="minorEastAsia" w:eastAsiaTheme="minorEastAsia" w:cstheme="minorEastAsia"/>
          <w:sz w:val="21"/>
          <w:szCs w:val="21"/>
          <w:lang w:val="en-US" w:eastAsia="zh-CN"/>
        </w:rPr>
        <w:t xml:space="preserve">学制：1年    </w:t>
      </w:r>
    </w:p>
    <w:p w14:paraId="7D2F68FB">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117888C6">
      <w:pPr>
        <w:pStyle w:val="5"/>
        <w:numPr>
          <w:ilvl w:val="0"/>
          <w:numId w:val="1"/>
        </w:numPr>
        <w:snapToGrid w:val="0"/>
        <w:spacing w:line="360" w:lineRule="auto"/>
        <w:contextualSpacing/>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b/>
          <w:bCs/>
          <w:sz w:val="24"/>
          <w:szCs w:val="24"/>
          <w:lang w:val="en-US" w:eastAsia="zh-CN"/>
        </w:rPr>
        <w:t>获取证书：</w:t>
      </w:r>
    </w:p>
    <w:p w14:paraId="24189168">
      <w:pPr>
        <w:pStyle w:val="5"/>
        <w:numPr>
          <w:ilvl w:val="0"/>
          <w:numId w:val="4"/>
        </w:numPr>
        <w:snapToGrid w:val="0"/>
        <w:spacing w:line="360" w:lineRule="auto"/>
        <w:ind w:firstLine="420" w:firstLineChars="200"/>
        <w:contextualSpacing/>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学员通过所报专业硕士研究生所有必修课程和选修课程考试，修满学分成绩合格，课程学习结束时发给江西财经大学硕士研究生课程班结业证书。</w:t>
      </w:r>
    </w:p>
    <w:p w14:paraId="432FE668">
      <w:pPr>
        <w:pStyle w:val="5"/>
        <w:numPr>
          <w:ilvl w:val="0"/>
          <w:numId w:val="0"/>
        </w:numPr>
        <w:snapToGrid w:val="0"/>
        <w:spacing w:line="360" w:lineRule="auto"/>
        <w:ind w:firstLine="420" w:firstLineChars="200"/>
        <w:contextualSpacing/>
        <w:rPr>
          <w:rFonts w:hint="default" w:asciiTheme="minorEastAsia" w:hAnsiTheme="minorEastAsia" w:eastAsia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2、完成所有课程学习并且考核合格这，满足同等学力申请硕士学位条件学员，可参加全国统一考试，成绩合格达标者可进入学位论文写作阶段，论文通过评审、答辩，并经由我校学位评定委员会批准，可授予江西财经大学设计学专业艺术学硕士学位。</w:t>
      </w:r>
    </w:p>
    <w:p w14:paraId="7CD55655">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1D3917F7">
      <w:pPr>
        <w:pStyle w:val="5"/>
        <w:numPr>
          <w:ilvl w:val="0"/>
          <w:numId w:val="1"/>
        </w:numPr>
        <w:snapToGrid w:val="0"/>
        <w:spacing w:line="360" w:lineRule="auto"/>
        <w:contextualSpacing/>
        <w:rPr>
          <w:rFonts w:hint="eastAsia" w:ascii="宋体" w:hAnsi="宋体" w:eastAsia="宋体" w:cs="宋体"/>
          <w:sz w:val="24"/>
          <w:szCs w:val="24"/>
          <w:lang w:val="en-US" w:eastAsia="zh-CN"/>
        </w:rPr>
      </w:pPr>
      <w:r>
        <w:rPr>
          <w:rFonts w:hint="eastAsia" w:asciiTheme="minorEastAsia" w:hAnsiTheme="minorEastAsia" w:eastAsiaTheme="minorEastAsia"/>
          <w:b/>
          <w:bCs/>
          <w:sz w:val="24"/>
          <w:szCs w:val="24"/>
          <w:lang w:val="en-US" w:eastAsia="zh-CN"/>
        </w:rPr>
        <w:t>收费标准：</w:t>
      </w:r>
    </w:p>
    <w:p w14:paraId="7AFBD6DF">
      <w:pPr>
        <w:pStyle w:val="5"/>
        <w:numPr>
          <w:ilvl w:val="0"/>
          <w:numId w:val="0"/>
        </w:numPr>
        <w:snapToGrid w:val="0"/>
        <w:spacing w:line="360" w:lineRule="auto"/>
        <w:ind w:firstLine="420" w:firstLineChars="200"/>
        <w:contextualSpacing/>
        <w:rPr>
          <w:rFonts w:asciiTheme="minorEastAsia" w:hAnsiTheme="minorEastAsia"/>
          <w:szCs w:val="21"/>
        </w:rPr>
      </w:pPr>
      <w:r>
        <w:rPr>
          <w:rFonts w:hint="eastAsia" w:ascii="宋体" w:hAnsi="宋体" w:eastAsia="宋体" w:cs="宋体"/>
          <w:b w:val="0"/>
          <w:bCs/>
          <w:color w:val="auto"/>
          <w:sz w:val="21"/>
          <w:szCs w:val="21"/>
          <w:lang w:val="en-US" w:eastAsia="zh-CN"/>
        </w:rPr>
        <w:t>学费缴纳分两段制进行，即课程学习阶段和撰写学位论文和论文答辩阶段，课程学习培养阶段学费为</w:t>
      </w:r>
      <w:r>
        <w:rPr>
          <w:rFonts w:hint="eastAsia" w:cs="宋体"/>
          <w:b w:val="0"/>
          <w:bCs/>
          <w:color w:val="auto"/>
          <w:sz w:val="21"/>
          <w:szCs w:val="21"/>
          <w:lang w:val="en-US" w:eastAsia="zh-CN"/>
        </w:rPr>
        <w:t>1</w:t>
      </w:r>
      <w:r>
        <w:rPr>
          <w:rFonts w:hint="eastAsia" w:ascii="宋体" w:hAnsi="宋体" w:eastAsia="宋体" w:cs="宋体"/>
          <w:b w:val="0"/>
          <w:bCs/>
          <w:color w:val="auto"/>
          <w:sz w:val="21"/>
          <w:szCs w:val="21"/>
          <w:lang w:val="en-US" w:eastAsia="zh-CN"/>
        </w:rPr>
        <w:t>5000元，</w:t>
      </w:r>
      <w:r>
        <w:rPr>
          <w:rFonts w:hint="eastAsia" w:cs="宋体"/>
          <w:b w:val="0"/>
          <w:bCs/>
          <w:color w:val="auto"/>
          <w:sz w:val="21"/>
          <w:szCs w:val="21"/>
          <w:lang w:val="en-US" w:eastAsia="zh-CN"/>
        </w:rPr>
        <w:t>论文答辩</w:t>
      </w:r>
      <w:r>
        <w:rPr>
          <w:rFonts w:hint="eastAsia" w:ascii="宋体" w:hAnsi="宋体" w:eastAsia="宋体" w:cs="宋体"/>
          <w:b w:val="0"/>
          <w:bCs/>
          <w:color w:val="auto"/>
          <w:sz w:val="21"/>
          <w:szCs w:val="21"/>
          <w:lang w:val="en-US" w:eastAsia="zh-CN"/>
        </w:rPr>
        <w:t>为</w:t>
      </w:r>
      <w:r>
        <w:rPr>
          <w:rFonts w:hint="eastAsia" w:cs="宋体"/>
          <w:b w:val="0"/>
          <w:bCs/>
          <w:color w:val="auto"/>
          <w:sz w:val="21"/>
          <w:szCs w:val="21"/>
          <w:lang w:val="en-US" w:eastAsia="zh-CN"/>
        </w:rPr>
        <w:t>8000</w:t>
      </w:r>
      <w:r>
        <w:rPr>
          <w:rFonts w:hint="eastAsia" w:ascii="宋体" w:hAnsi="宋体" w:eastAsia="宋体" w:cs="宋体"/>
          <w:b w:val="0"/>
          <w:bCs/>
          <w:color w:val="auto"/>
          <w:sz w:val="21"/>
          <w:szCs w:val="21"/>
          <w:lang w:val="en-US" w:eastAsia="zh-CN"/>
        </w:rPr>
        <w:t>元，收</w:t>
      </w:r>
      <w:bookmarkStart w:id="1" w:name="_GoBack"/>
      <w:bookmarkEnd w:id="1"/>
      <w:r>
        <w:rPr>
          <w:rFonts w:hint="eastAsia" w:ascii="宋体" w:hAnsi="宋体" w:eastAsia="宋体" w:cs="宋体"/>
          <w:b w:val="0"/>
          <w:bCs/>
          <w:color w:val="auto"/>
          <w:sz w:val="21"/>
          <w:szCs w:val="21"/>
          <w:lang w:val="en-US" w:eastAsia="zh-CN"/>
        </w:rPr>
        <w:t xml:space="preserve">费要求以学校实际要求为准。  </w:t>
      </w:r>
      <w:r>
        <w:rPr>
          <w:rFonts w:hint="eastAsia" w:ascii="宋体" w:hAnsi="宋体" w:eastAsia="宋体" w:cs="宋体"/>
          <w:sz w:val="24"/>
          <w:szCs w:val="24"/>
          <w:lang w:val="en-US" w:eastAsia="zh-CN"/>
        </w:rPr>
        <w:t xml:space="preserve"> </w:t>
      </w:r>
    </w:p>
    <w:sectPr>
      <w:headerReference r:id="rId5" w:type="first"/>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B1254">
    <w:pPr>
      <w:pStyle w:val="4"/>
      <w:tabs>
        <w:tab w:val="center" w:pos="4213"/>
        <w:tab w:val="left" w:pos="6891"/>
      </w:tabs>
      <w:jc w:val="left"/>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266690" cy="5266690"/>
          <wp:effectExtent l="0" t="0" r="10160" b="10160"/>
          <wp:wrapNone/>
          <wp:docPr id="4" name="WordPictureWatermark113217064"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113217064" descr="222"/>
                  <pic:cNvPicPr>
                    <a:picLocks noChangeAspect="1"/>
                  </pic:cNvPicPr>
                </pic:nvPicPr>
                <pic:blipFill>
                  <a:blip r:embed="rId1">
                    <a:lum bright="70001" contrast="-70000"/>
                  </a:blip>
                  <a:stretch>
                    <a:fillRect/>
                  </a:stretch>
                </pic:blipFill>
                <pic:spPr>
                  <a:xfrm>
                    <a:off x="0" y="0"/>
                    <a:ext cx="5266690" cy="526669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234A3">
    <w:pPr>
      <w:pStyle w:val="4"/>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266690" cy="5266690"/>
          <wp:effectExtent l="0" t="0" r="10160" b="10160"/>
          <wp:wrapNone/>
          <wp:docPr id="3" name="WordPictureWatermark113217063"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13217063" descr="222"/>
                  <pic:cNvPicPr>
                    <a:picLocks noChangeAspect="1"/>
                  </pic:cNvPicPr>
                </pic:nvPicPr>
                <pic:blipFill>
                  <a:blip r:embed="rId1">
                    <a:lum bright="70001" contrast="-70000"/>
                  </a:blip>
                  <a:stretch>
                    <a:fillRect/>
                  </a:stretch>
                </pic:blipFill>
                <pic:spPr>
                  <a:xfrm>
                    <a:off x="0" y="0"/>
                    <a:ext cx="5266690" cy="526669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559B">
    <w:pPr>
      <w:pStyle w:val="4"/>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266690" cy="5266690"/>
          <wp:effectExtent l="0" t="0" r="10160" b="10160"/>
          <wp:wrapNone/>
          <wp:docPr id="1" name="WordPictureWatermark113217062"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13217062" descr="222"/>
                  <pic:cNvPicPr>
                    <a:picLocks noChangeAspect="1"/>
                  </pic:cNvPicPr>
                </pic:nvPicPr>
                <pic:blipFill>
                  <a:blip r:embed="rId1">
                    <a:lum bright="70001" contrast="-70000"/>
                  </a:blip>
                  <a:stretch>
                    <a:fillRect/>
                  </a:stretch>
                </pic:blipFill>
                <pic:spPr>
                  <a:xfrm>
                    <a:off x="0" y="0"/>
                    <a:ext cx="5266690" cy="526669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B78AB"/>
    <w:multiLevelType w:val="singleLevel"/>
    <w:tmpl w:val="B3FB78AB"/>
    <w:lvl w:ilvl="0" w:tentative="0">
      <w:start w:val="1"/>
      <w:numFmt w:val="decimal"/>
      <w:suff w:val="nothing"/>
      <w:lvlText w:val="%1、"/>
      <w:lvlJc w:val="left"/>
    </w:lvl>
  </w:abstractNum>
  <w:abstractNum w:abstractNumId="1">
    <w:nsid w:val="C000E8B9"/>
    <w:multiLevelType w:val="singleLevel"/>
    <w:tmpl w:val="C000E8B9"/>
    <w:lvl w:ilvl="0" w:tentative="0">
      <w:start w:val="1"/>
      <w:numFmt w:val="decimal"/>
      <w:suff w:val="nothing"/>
      <w:lvlText w:val="%1、"/>
      <w:lvlJc w:val="left"/>
      <w:rPr>
        <w:rFonts w:hint="default"/>
        <w:b/>
        <w:bCs/>
      </w:rPr>
    </w:lvl>
  </w:abstractNum>
  <w:abstractNum w:abstractNumId="2">
    <w:nsid w:val="FD979A40"/>
    <w:multiLevelType w:val="singleLevel"/>
    <w:tmpl w:val="FD979A40"/>
    <w:lvl w:ilvl="0" w:tentative="0">
      <w:start w:val="1"/>
      <w:numFmt w:val="chineseCounting"/>
      <w:suff w:val="nothing"/>
      <w:lvlText w:val="%1、"/>
      <w:lvlJc w:val="left"/>
      <w:rPr>
        <w:rFonts w:hint="eastAsia"/>
        <w:b/>
        <w:bCs/>
      </w:rPr>
    </w:lvl>
  </w:abstractNum>
  <w:abstractNum w:abstractNumId="3">
    <w:nsid w:val="62366322"/>
    <w:multiLevelType w:val="singleLevel"/>
    <w:tmpl w:val="62366322"/>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00B032C0"/>
    <w:rsid w:val="00082F90"/>
    <w:rsid w:val="0008532F"/>
    <w:rsid w:val="000A69B5"/>
    <w:rsid w:val="000E73B0"/>
    <w:rsid w:val="001514BE"/>
    <w:rsid w:val="00160303"/>
    <w:rsid w:val="001904E4"/>
    <w:rsid w:val="00223CE0"/>
    <w:rsid w:val="002519DA"/>
    <w:rsid w:val="00296044"/>
    <w:rsid w:val="002B1210"/>
    <w:rsid w:val="002B1B2B"/>
    <w:rsid w:val="003F6347"/>
    <w:rsid w:val="004B538B"/>
    <w:rsid w:val="004E753A"/>
    <w:rsid w:val="004F5BC4"/>
    <w:rsid w:val="00556C91"/>
    <w:rsid w:val="005B2E48"/>
    <w:rsid w:val="00715789"/>
    <w:rsid w:val="00717213"/>
    <w:rsid w:val="00764FAE"/>
    <w:rsid w:val="007B0553"/>
    <w:rsid w:val="007D1D49"/>
    <w:rsid w:val="00800692"/>
    <w:rsid w:val="00810410"/>
    <w:rsid w:val="009D1993"/>
    <w:rsid w:val="00A16BE0"/>
    <w:rsid w:val="00AB0641"/>
    <w:rsid w:val="00AC5EE8"/>
    <w:rsid w:val="00B032C0"/>
    <w:rsid w:val="00B35C22"/>
    <w:rsid w:val="00B552D8"/>
    <w:rsid w:val="00BF6C72"/>
    <w:rsid w:val="00C5768A"/>
    <w:rsid w:val="00CC3E5F"/>
    <w:rsid w:val="00D00E82"/>
    <w:rsid w:val="00D61FBE"/>
    <w:rsid w:val="00D95A35"/>
    <w:rsid w:val="00DA56A4"/>
    <w:rsid w:val="00E1601C"/>
    <w:rsid w:val="00E35455"/>
    <w:rsid w:val="00EB2B73"/>
    <w:rsid w:val="00EB77DD"/>
    <w:rsid w:val="00EC57B5"/>
    <w:rsid w:val="00F03EC2"/>
    <w:rsid w:val="00F53410"/>
    <w:rsid w:val="00FA4E16"/>
    <w:rsid w:val="00FE08FD"/>
    <w:rsid w:val="02DA7AD5"/>
    <w:rsid w:val="07A20778"/>
    <w:rsid w:val="08E7643E"/>
    <w:rsid w:val="0A536C86"/>
    <w:rsid w:val="0AB903B7"/>
    <w:rsid w:val="10E21C1F"/>
    <w:rsid w:val="1236663D"/>
    <w:rsid w:val="14D24929"/>
    <w:rsid w:val="15F72CBA"/>
    <w:rsid w:val="1C321559"/>
    <w:rsid w:val="205138FC"/>
    <w:rsid w:val="23165E81"/>
    <w:rsid w:val="240F5A90"/>
    <w:rsid w:val="25EB582C"/>
    <w:rsid w:val="262E332F"/>
    <w:rsid w:val="3195586F"/>
    <w:rsid w:val="33114748"/>
    <w:rsid w:val="3C9B62A5"/>
    <w:rsid w:val="44805F0A"/>
    <w:rsid w:val="49766A5B"/>
    <w:rsid w:val="49B24E9D"/>
    <w:rsid w:val="4C0833C1"/>
    <w:rsid w:val="4F183513"/>
    <w:rsid w:val="4F5817CA"/>
    <w:rsid w:val="502D0123"/>
    <w:rsid w:val="50D17D3D"/>
    <w:rsid w:val="519F4486"/>
    <w:rsid w:val="545D28DF"/>
    <w:rsid w:val="576A35BB"/>
    <w:rsid w:val="5E811B56"/>
    <w:rsid w:val="5EAF647B"/>
    <w:rsid w:val="613967DA"/>
    <w:rsid w:val="6320666B"/>
    <w:rsid w:val="67145898"/>
    <w:rsid w:val="6A055FA7"/>
    <w:rsid w:val="6DEC3CE4"/>
    <w:rsid w:val="77F2537D"/>
    <w:rsid w:val="788B18CD"/>
    <w:rsid w:val="7A3E222A"/>
    <w:rsid w:val="7B8D7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semiHidden/>
    <w:unhideWhenUsed/>
    <w:qFormat/>
    <w:uiPriority w:val="99"/>
    <w:rPr>
      <w:color w:val="0000FF"/>
      <w:u w:val="single"/>
    </w:rPr>
  </w:style>
  <w:style w:type="character" w:customStyle="1" w:styleId="10">
    <w:name w:val="批注框文本 Char"/>
    <w:basedOn w:val="8"/>
    <w:link w:val="2"/>
    <w:autoRedefine/>
    <w:semiHidden/>
    <w:qFormat/>
    <w:uiPriority w:val="99"/>
    <w:rPr>
      <w:sz w:val="18"/>
      <w:szCs w:val="18"/>
    </w:rPr>
  </w:style>
  <w:style w:type="character" w:customStyle="1" w:styleId="11">
    <w:name w:val="页眉 Char"/>
    <w:basedOn w:val="8"/>
    <w:link w:val="4"/>
    <w:autoRedefine/>
    <w:semiHidden/>
    <w:qFormat/>
    <w:uiPriority w:val="99"/>
    <w:rPr>
      <w:sz w:val="18"/>
      <w:szCs w:val="18"/>
    </w:rPr>
  </w:style>
  <w:style w:type="character" w:customStyle="1" w:styleId="12">
    <w:name w:val="页脚 Char"/>
    <w:basedOn w:val="8"/>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1876</Words>
  <Characters>1911</Characters>
  <Lines>14</Lines>
  <Paragraphs>3</Paragraphs>
  <TotalTime>12</TotalTime>
  <ScaleCrop>false</ScaleCrop>
  <LinksUpToDate>false</LinksUpToDate>
  <CharactersWithSpaces>1918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2021-03-07T09:19:00Z</dcterms:created>
  <dc:creator>微软用户</dc:creator>
  <cp:lastModifiedBy>Administrator</cp:lastModifiedBy>
  <dcterms:modified xsi:type="dcterms:W3CDTF">2026-01-14T10:57:45Z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6A0327B2822C40E884A7D93F9288A795_13</vt:lpwstr>
  </property>
  <property fmtid="{D5CDD505-2E9C-101B-9397-08002B2CF9AE}" pid="4" name="KSOTemplateDocerSaveRecord">
    <vt:lpwstr>eyJoZGlkIjoiMjJkYmYyOGQwNjU2YTFjYjBlYWQzZDdlZjc2Nzk1ZWYifQ==</vt:lpwstr>
  </property>
</Properties>
</file>