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2D9992">
      <w:pPr>
        <w:pStyle w:val="5"/>
        <w:snapToGrid w:val="0"/>
        <w:spacing w:line="360" w:lineRule="auto"/>
        <w:ind w:left="3150" w:hanging="3150" w:hangingChars="1500"/>
        <w:contextualSpacing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drawing>
          <wp:inline distT="0" distB="0" distL="0" distR="0">
            <wp:extent cx="5274310" cy="1005205"/>
            <wp:effectExtent l="19050" t="0" r="2540" b="0"/>
            <wp:docPr id="2" name="图片 1" descr="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111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7FF7F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40BDD42A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江西财经大学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企业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管理</w:t>
      </w:r>
      <w:r>
        <w:rPr>
          <w:rFonts w:asciiTheme="majorEastAsia" w:hAnsiTheme="majorEastAsia" w:eastAsiaTheme="majorEastAsia"/>
          <w:b/>
          <w:sz w:val="36"/>
          <w:szCs w:val="36"/>
        </w:rPr>
        <w:t>专业高级课程研修班</w:t>
      </w:r>
    </w:p>
    <w:p w14:paraId="14A13188">
      <w:pPr>
        <w:pStyle w:val="5"/>
        <w:snapToGrid w:val="0"/>
        <w:spacing w:line="360" w:lineRule="auto"/>
        <w:ind w:left="2740" w:leftChars="100" w:hanging="2530" w:hangingChars="700"/>
        <w:contextualSpacing/>
        <w:jc w:val="center"/>
        <w:rPr>
          <w:rFonts w:asciiTheme="majorEastAsia" w:hAnsiTheme="majorEastAsia" w:eastAsiaTheme="majorEastAsia"/>
          <w:b/>
          <w:sz w:val="30"/>
          <w:szCs w:val="30"/>
        </w:rPr>
      </w:pPr>
      <w:r>
        <w:rPr>
          <w:rFonts w:asciiTheme="majorEastAsia" w:hAnsiTheme="majorEastAsia" w:eastAsiaTheme="majorEastAsia"/>
          <w:b/>
          <w:sz w:val="36"/>
          <w:szCs w:val="36"/>
        </w:rPr>
        <w:t>招生简章</w:t>
      </w:r>
    </w:p>
    <w:p w14:paraId="558C60F9">
      <w:pPr>
        <w:pStyle w:val="5"/>
        <w:snapToGrid w:val="0"/>
        <w:spacing w:line="360" w:lineRule="auto"/>
        <w:contextualSpacing/>
        <w:jc w:val="center"/>
        <w:rPr>
          <w:rFonts w:asciiTheme="minorEastAsia" w:hAnsiTheme="minorEastAsia" w:eastAsiaTheme="minorEastAsia"/>
          <w:color w:val="FF0000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FF0000"/>
          <w:sz w:val="21"/>
          <w:szCs w:val="21"/>
        </w:rPr>
        <w:t>全国招生，设</w:t>
      </w:r>
      <w:r>
        <w:rPr>
          <w:rFonts w:asciiTheme="minorEastAsia" w:hAnsiTheme="minorEastAsia" w:eastAsiaTheme="minorEastAsia"/>
          <w:color w:val="FF0000"/>
          <w:sz w:val="21"/>
          <w:szCs w:val="21"/>
        </w:rPr>
        <w:t>网络教学</w:t>
      </w:r>
    </w:p>
    <w:p w14:paraId="0048E725">
      <w:pPr>
        <w:pStyle w:val="5"/>
        <w:snapToGrid w:val="0"/>
        <w:spacing w:line="360" w:lineRule="auto"/>
        <w:contextualSpacing/>
        <w:rPr>
          <w:rFonts w:hint="default" w:asciiTheme="minorEastAsia" w:hAnsiTheme="minorEastAsia" w:eastAsiaTheme="minorEastAsia"/>
          <w:sz w:val="21"/>
          <w:szCs w:val="21"/>
          <w:lang w:val="en-US" w:eastAsia="zh-CN"/>
        </w:rPr>
      </w:pPr>
    </w:p>
    <w:p w14:paraId="139C9257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院校简介：</w:t>
      </w:r>
    </w:p>
    <w:p w14:paraId="3163BAAE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江西财经大学是一所财政部、教育部、江西省人民政府共建，以经济、管理类学科为主，法、工、文、理、艺术、教育等学科协调发展的高等财经学府。江西财经大学研究生教育肇始于1985年，1998年获批博士学位授予权，2004年获批博士后科研流动站。经过三十多年的发展，已经形成了一个从硕士到博士后、从学术学位到专业学位、从全日制到在职等多层次的研究生教育体系。</w:t>
      </w:r>
    </w:p>
    <w:p w14:paraId="40ABB410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现有经济学、管理学、法学、工学、文学、理学、艺术等学科门类；拥有应用经济学、理论经济学、管理科学与工程、工商管理、统计学、法学、马克思主义理论共7个博士后流动站；应用经济学、理论经济学、管理科学与工程、工商管理、统计学、法学、马克思主义理论共7个一级博士学位授权点，39个二级博士学位授权点，13个一级硕士学位授权点，70个二级硕士学位授权点，18个专业硕士学位授权点。</w:t>
      </w:r>
    </w:p>
    <w:p w14:paraId="1CEC9DD2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 xml:space="preserve">    工商管理学院拥有工商管理一级学科硕士点、博士点以及博士后流动站，拥有全校唯一的交叉学科博士点（数字科学与管理工程），是全国第三批、全省首家MBA培养院校，全国第二批、全省唯一的EMBA培养院校，拥有江西省高校人文社科重点研究基地。是中国大陆经管院校参加BGA单独国际认证首家金牌院校，也是全校首个获得国际商科认证的学院。现招收企业管理专业研修课程培训班学员，为社会各界提供优秀硕士研究生专业人才。</w:t>
      </w:r>
    </w:p>
    <w:p w14:paraId="66A9B194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0D4B1C3B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培养目标：</w:t>
      </w:r>
    </w:p>
    <w:p w14:paraId="170D51AA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要求学员掌握企业管理理论基础和系统化专业技能，培养具有良好学术素养、独立科研精神，德智体全面发展的，具有创新精神、团队合作能力和多样化管理技能，具有国际化视野和思辨能力，具有分析和解决问题能力，能够独立从事经济及管理领域的科学研究、教学工作，或承担实际管理工作能力的高层次、复合型人才。</w:t>
      </w:r>
    </w:p>
    <w:p w14:paraId="0572C2BD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cs="宋体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555CE362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ascii="Times New Roman" w:hAnsi="Times New Roma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培养优势：</w:t>
      </w:r>
    </w:p>
    <w:p w14:paraId="6E2AAA8B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5441EB04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6C03E2FC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学校拥有结构合理、素质优良、可持续发展的师资队伍，国内外330余名著名学者、专家和企业家受聘为学校客座教授；</w:t>
      </w:r>
    </w:p>
    <w:p w14:paraId="67E6D812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【申硕机会多】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：完成课业安排，只要达到申硕条件者，可申请4年内每年参加同等学力申硕考试；</w:t>
      </w:r>
    </w:p>
    <w:p w14:paraId="09BD0217">
      <w:pPr>
        <w:pStyle w:val="5"/>
        <w:numPr>
          <w:ilvl w:val="0"/>
          <w:numId w:val="2"/>
        </w:numPr>
        <w:snapToGrid w:val="0"/>
        <w:spacing w:line="360" w:lineRule="auto"/>
        <w:ind w:firstLine="422" w:firstLineChars="20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39F55EC0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</w:p>
    <w:p w14:paraId="0956DCE4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课程设置：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5FF80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60460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企业管理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21ECC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01DDC9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学位课</w:t>
            </w:r>
          </w:p>
        </w:tc>
        <w:tc>
          <w:tcPr>
            <w:tcW w:w="3402" w:type="dxa"/>
          </w:tcPr>
          <w:p w14:paraId="4FAE9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社会主义理论与实践</w:t>
            </w:r>
          </w:p>
        </w:tc>
        <w:tc>
          <w:tcPr>
            <w:tcW w:w="3311" w:type="dxa"/>
          </w:tcPr>
          <w:p w14:paraId="40D6D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4FC0F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72E025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669E4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当代管理理论</w:t>
            </w:r>
          </w:p>
        </w:tc>
        <w:tc>
          <w:tcPr>
            <w:tcW w:w="3311" w:type="dxa"/>
          </w:tcPr>
          <w:p w14:paraId="79A91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企业理论与企业组织</w:t>
            </w:r>
          </w:p>
        </w:tc>
      </w:tr>
      <w:tr w14:paraId="7B0B9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57842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0A70C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管理经济学</w:t>
            </w:r>
          </w:p>
        </w:tc>
        <w:tc>
          <w:tcPr>
            <w:tcW w:w="3311" w:type="dxa"/>
          </w:tcPr>
          <w:p w14:paraId="0CD189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战略管理</w:t>
            </w:r>
          </w:p>
        </w:tc>
      </w:tr>
      <w:tr w14:paraId="51C15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5437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B7AD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人力资源管理</w:t>
            </w:r>
          </w:p>
        </w:tc>
        <w:tc>
          <w:tcPr>
            <w:tcW w:w="3311" w:type="dxa"/>
          </w:tcPr>
          <w:p w14:paraId="54275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营销管理</w:t>
            </w:r>
          </w:p>
        </w:tc>
      </w:tr>
      <w:tr w14:paraId="04CA8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12636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CE20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现代公司理财</w:t>
            </w:r>
          </w:p>
        </w:tc>
        <w:tc>
          <w:tcPr>
            <w:tcW w:w="3311" w:type="dxa"/>
          </w:tcPr>
          <w:p w14:paraId="64767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管理研究方法</w:t>
            </w:r>
          </w:p>
        </w:tc>
      </w:tr>
      <w:tr w14:paraId="5B1F5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4E08E6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18756D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组织行为学</w:t>
            </w:r>
          </w:p>
        </w:tc>
        <w:tc>
          <w:tcPr>
            <w:tcW w:w="3311" w:type="dxa"/>
          </w:tcPr>
          <w:p w14:paraId="37EBA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中国管理学原理</w:t>
            </w:r>
          </w:p>
        </w:tc>
      </w:tr>
      <w:tr w14:paraId="430A2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280C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12C4E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商业伦理</w:t>
            </w:r>
          </w:p>
        </w:tc>
        <w:tc>
          <w:tcPr>
            <w:tcW w:w="3311" w:type="dxa"/>
          </w:tcPr>
          <w:p w14:paraId="139736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设计思维与商业创新</w:t>
            </w:r>
          </w:p>
        </w:tc>
      </w:tr>
      <w:tr w14:paraId="6F8A8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1B2ED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3A139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管理研究方法</w:t>
            </w:r>
          </w:p>
        </w:tc>
        <w:tc>
          <w:tcPr>
            <w:tcW w:w="3311" w:type="dxa"/>
          </w:tcPr>
          <w:p w14:paraId="6ACF27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财务管理</w:t>
            </w:r>
          </w:p>
        </w:tc>
      </w:tr>
    </w:tbl>
    <w:p w14:paraId="26F5E766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794FEAB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ind w:firstLine="2730" w:firstLineChars="1300"/>
        <w:contextualSpacing/>
        <w:textAlignment w:val="auto"/>
        <w:rPr>
          <w:rFonts w:hint="eastAsia" w:ascii="仿宋" w:hAnsi="仿宋" w:cs="仿宋"/>
          <w:b/>
          <w:bCs/>
          <w:color w:val="000000"/>
          <w:spacing w:val="1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实际</w:t>
      </w:r>
    </w:p>
    <w:p w14:paraId="63EAB564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11635511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报名条件：</w:t>
      </w:r>
    </w:p>
    <w:p w14:paraId="19352DD1">
      <w:pPr>
        <w:pStyle w:val="5"/>
        <w:numPr>
          <w:ilvl w:val="0"/>
          <w:numId w:val="3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大专以上学历者即可报名；</w:t>
      </w:r>
    </w:p>
    <w:p w14:paraId="012EB197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2、大学本科毕业并获得学士学位后工作3年以上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虽无学士学位但已获得硕士或博士学位者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；</w:t>
      </w:r>
    </w:p>
    <w:p w14:paraId="7EB65C9A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通过教育部留学服务中心认证的国（境）外学士、硕士或博士学位获得者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。</w:t>
      </w:r>
    </w:p>
    <w:p w14:paraId="395A1C33">
      <w:pPr>
        <w:pStyle w:val="5"/>
        <w:numPr>
          <w:ilvl w:val="0"/>
          <w:numId w:val="0"/>
        </w:numPr>
        <w:snapToGrid w:val="0"/>
        <w:spacing w:line="360" w:lineRule="auto"/>
        <w:contextualSpacing/>
        <w:rPr>
          <w:rFonts w:hint="default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</w:p>
    <w:p w14:paraId="3F629CEB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报名材料：</w:t>
      </w:r>
    </w:p>
    <w:p w14:paraId="5BFBA4E5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1、本人持二代居民身份证原件及复印件；</w:t>
      </w:r>
    </w:p>
    <w:p w14:paraId="3550976B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default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2、本人学历和学位证书、毕业证书原件及复印件；</w:t>
      </w:r>
    </w:p>
    <w:p w14:paraId="1DEC3533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3、近期2张蓝底一寸照片2张蓝底二寸照片；</w:t>
      </w:r>
    </w:p>
    <w:p w14:paraId="21F107FB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9464AA7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培养方式和学制：</w:t>
      </w:r>
    </w:p>
    <w:p w14:paraId="3A12653D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教学方式：每月集中双休日采用线上/线下授课，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7ED8556E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ind w:firstLine="481"/>
        <w:contextualSpacing/>
        <w:jc w:val="left"/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学制：1年    </w:t>
      </w:r>
    </w:p>
    <w:p w14:paraId="7D6966E2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1AE5CDF1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获取证书：</w:t>
      </w:r>
    </w:p>
    <w:p w14:paraId="1057427C">
      <w:pPr>
        <w:pStyle w:val="5"/>
        <w:numPr>
          <w:ilvl w:val="0"/>
          <w:numId w:val="4"/>
        </w:numPr>
        <w:snapToGrid w:val="0"/>
        <w:spacing w:line="360" w:lineRule="auto"/>
        <w:ind w:firstLine="420" w:firstLineChars="200"/>
        <w:contextualSpacing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学员通过所报专业硕士研究生所有必修课程和选修课程考试，修满学分成绩合格，课程学习结束时发给江西财经大学硕士研究生课程班结业证书。</w:t>
      </w:r>
    </w:p>
    <w:p w14:paraId="4B64F393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default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2、完成所有课程学习并且考核合格这，满足同等学力申请硕士学位条件学员，可参加全国统一考试，成绩合格达标者可进入学位论文写作阶段，论文通过评审、答辩，并经由我校学位评定委员会批准，可授予江西财经大学管理学硕士学位。</w:t>
      </w:r>
    </w:p>
    <w:p w14:paraId="01C4E9B6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6580C5E">
      <w:pPr>
        <w:pStyle w:val="5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收费标准：</w:t>
      </w:r>
    </w:p>
    <w:p w14:paraId="17BD8803">
      <w:pPr>
        <w:pStyle w:val="5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学费缴纳分两段制进行，即课程学习阶段和撰写学位论文和论文答辩阶段，课程学习培养阶段学费为</w:t>
      </w:r>
      <w:r>
        <w:rPr>
          <w:rFonts w:hint="eastAsia" w:cs="宋体"/>
          <w:b w:val="0"/>
          <w:bCs/>
          <w:color w:val="auto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5000元，论文指导费为</w:t>
      </w:r>
      <w:r>
        <w:rPr>
          <w:rFonts w:hint="eastAsia" w:cs="宋体"/>
          <w:b w:val="0"/>
          <w:bCs/>
          <w:color w:val="auto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 xml:space="preserve">000元，收费要求以学校实际要求为准。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 w14:paraId="0F81F2BA">
      <w:pPr>
        <w:pStyle w:val="5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default" w:asciiTheme="minorEastAsia" w:hAnsiTheme="minorEastAsia" w:eastAsiaTheme="minorEastAsia"/>
          <w:b/>
          <w:bCs/>
          <w:sz w:val="24"/>
          <w:szCs w:val="24"/>
          <w:lang w:val="en-US" w:eastAsia="zh-CN"/>
        </w:rPr>
      </w:pPr>
    </w:p>
    <w:p w14:paraId="311BDF09">
      <w:pPr>
        <w:pStyle w:val="5"/>
        <w:snapToGrid w:val="0"/>
        <w:spacing w:line="360" w:lineRule="auto"/>
        <w:contextualSpacing/>
        <w:rPr>
          <w:rFonts w:asciiTheme="minorEastAsia" w:hAnsiTheme="minorEastAsia"/>
          <w:szCs w:val="21"/>
        </w:rPr>
      </w:pPr>
      <w:bookmarkStart w:id="0" w:name="_GoBack"/>
      <w:bookmarkEnd w:id="0"/>
    </w:p>
    <w:sectPr>
      <w:headerReference r:id="rId5" w:type="first"/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DB1CA">
    <w:pPr>
      <w:pStyle w:val="4"/>
      <w:tabs>
        <w:tab w:val="center" w:pos="4213"/>
        <w:tab w:val="left" w:pos="6891"/>
      </w:tabs>
      <w:jc w:val="left"/>
    </w:pP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4" name="WordPictureWatermark113217064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113217064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70423"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3" name="WordPictureWatermark113217063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113217063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CDAFF2"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66690" cy="5266690"/>
          <wp:effectExtent l="0" t="0" r="10160" b="10160"/>
          <wp:wrapNone/>
          <wp:docPr id="1" name="WordPictureWatermark113217062" descr="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13217062" descr="222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6690" cy="5266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2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>
    <w:nsid w:val="62366322"/>
    <w:multiLevelType w:val="singleLevel"/>
    <w:tmpl w:val="6236632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ODQ5N2Q1NmI0ZDAwYTJiMTcyMmU3ZjhhMWE4NmEifQ=="/>
  </w:docVars>
  <w:rsids>
    <w:rsidRoot w:val="00B032C0"/>
    <w:rsid w:val="00082F90"/>
    <w:rsid w:val="0008532F"/>
    <w:rsid w:val="000A69B5"/>
    <w:rsid w:val="000E73B0"/>
    <w:rsid w:val="001514BE"/>
    <w:rsid w:val="00160303"/>
    <w:rsid w:val="001904E4"/>
    <w:rsid w:val="00223CE0"/>
    <w:rsid w:val="002519DA"/>
    <w:rsid w:val="00296044"/>
    <w:rsid w:val="002B1210"/>
    <w:rsid w:val="002B1B2B"/>
    <w:rsid w:val="004B538B"/>
    <w:rsid w:val="004E753A"/>
    <w:rsid w:val="004F5BC4"/>
    <w:rsid w:val="00556C91"/>
    <w:rsid w:val="005B2E48"/>
    <w:rsid w:val="00715789"/>
    <w:rsid w:val="00717213"/>
    <w:rsid w:val="00764FAE"/>
    <w:rsid w:val="007B0553"/>
    <w:rsid w:val="007D1D49"/>
    <w:rsid w:val="00800692"/>
    <w:rsid w:val="00810410"/>
    <w:rsid w:val="009D1993"/>
    <w:rsid w:val="00A16BE0"/>
    <w:rsid w:val="00AB0641"/>
    <w:rsid w:val="00AC5EE8"/>
    <w:rsid w:val="00B032C0"/>
    <w:rsid w:val="00B35C22"/>
    <w:rsid w:val="00B552D8"/>
    <w:rsid w:val="00BF6C72"/>
    <w:rsid w:val="00C5768A"/>
    <w:rsid w:val="00CC3E5F"/>
    <w:rsid w:val="00D00E82"/>
    <w:rsid w:val="00D61FBE"/>
    <w:rsid w:val="00D95A35"/>
    <w:rsid w:val="00DA56A4"/>
    <w:rsid w:val="00E1601C"/>
    <w:rsid w:val="00E35455"/>
    <w:rsid w:val="00EB2B73"/>
    <w:rsid w:val="00EB77DD"/>
    <w:rsid w:val="00EC57B5"/>
    <w:rsid w:val="00F03EC2"/>
    <w:rsid w:val="00F53410"/>
    <w:rsid w:val="00FA4E16"/>
    <w:rsid w:val="00FE08FD"/>
    <w:rsid w:val="07A20778"/>
    <w:rsid w:val="0AB903B7"/>
    <w:rsid w:val="1236663D"/>
    <w:rsid w:val="15F72CBA"/>
    <w:rsid w:val="1C321559"/>
    <w:rsid w:val="205138FC"/>
    <w:rsid w:val="23165E81"/>
    <w:rsid w:val="26276671"/>
    <w:rsid w:val="262E332F"/>
    <w:rsid w:val="33114748"/>
    <w:rsid w:val="3C9B62A5"/>
    <w:rsid w:val="49766A5B"/>
    <w:rsid w:val="49B24E9D"/>
    <w:rsid w:val="576A35BB"/>
    <w:rsid w:val="5EAF647B"/>
    <w:rsid w:val="613967DA"/>
    <w:rsid w:val="6279101A"/>
    <w:rsid w:val="768B038C"/>
    <w:rsid w:val="77F2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character" w:customStyle="1" w:styleId="10">
    <w:name w:val="批注框文本 Char"/>
    <w:basedOn w:val="8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1566</Words>
  <Characters>1599</Characters>
  <Lines>14</Lines>
  <Paragraphs>3</Paragraphs>
  <TotalTime>0</TotalTime>
  <ScaleCrop>false</ScaleCrop>
  <LinksUpToDate>false</LinksUpToDate>
  <CharactersWithSpaces>1620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2021-03-07T09:19:00Z</dcterms:created>
  <dc:creator>微软用户</dc:creator>
  <cp:lastModifiedBy>Administrator</cp:lastModifiedBy>
  <dcterms:modified xsi:type="dcterms:W3CDTF">2026-01-14T10:54:32Z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AA00E5A18D9545BB8C84543CECCE1221</vt:lpwstr>
  </property>
  <property fmtid="{D5CDD505-2E9C-101B-9397-08002B2CF9AE}" pid="4" name="KSOTemplateDocerSaveRecord">
    <vt:lpwstr>eyJoZGlkIjoiMjJkYmYyOGQwNjU2YTFjYjBlYWQzZDdlZjc2Nzk1ZWYifQ==</vt:lpwstr>
  </property>
</Properties>
</file>