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DCE8E">
      <w:pPr>
        <w:pStyle w:val="5"/>
        <w:snapToGrid w:val="0"/>
        <w:spacing w:line="360" w:lineRule="auto"/>
        <w:ind w:left="3150" w:hanging="3150" w:hangingChars="15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drawing>
          <wp:inline distT="0" distB="0" distL="0" distR="0">
            <wp:extent cx="5274310" cy="1005205"/>
            <wp:effectExtent l="19050" t="0" r="2540" b="0"/>
            <wp:docPr id="2" name="图片 1" descr="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111.png"/>
                    <pic:cNvPicPr>
                      <a:picLocks noChangeAspect="1"/>
                    </pic:cNvPicPr>
                  </pic:nvPicPr>
                  <pic:blipFill>
                    <a:blip r:embed="rId7" cstate="print"/>
                    <a:stretch>
                      <a:fillRect/>
                    </a:stretch>
                  </pic:blipFill>
                  <pic:spPr>
                    <a:xfrm>
                      <a:off x="0" y="0"/>
                      <a:ext cx="5274310" cy="1005205"/>
                    </a:xfrm>
                    <a:prstGeom prst="rect">
                      <a:avLst/>
                    </a:prstGeom>
                  </pic:spPr>
                </pic:pic>
              </a:graphicData>
            </a:graphic>
          </wp:inline>
        </w:drawing>
      </w:r>
    </w:p>
    <w:p w14:paraId="59845F3D">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p>
    <w:p w14:paraId="2D5267A6">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r>
        <w:rPr>
          <w:rFonts w:asciiTheme="majorEastAsia" w:hAnsiTheme="majorEastAsia" w:eastAsiaTheme="majorEastAsia"/>
          <w:b/>
          <w:sz w:val="36"/>
          <w:szCs w:val="36"/>
        </w:rPr>
        <w:t>江西财经大学</w:t>
      </w:r>
      <w:r>
        <w:rPr>
          <w:rFonts w:hint="eastAsia" w:asciiTheme="majorEastAsia" w:hAnsiTheme="majorEastAsia" w:eastAsiaTheme="majorEastAsia"/>
          <w:b/>
          <w:sz w:val="36"/>
          <w:szCs w:val="36"/>
          <w:lang w:val="en-US" w:eastAsia="zh-CN"/>
        </w:rPr>
        <w:t>宪法与行政法</w:t>
      </w:r>
      <w:r>
        <w:rPr>
          <w:rFonts w:asciiTheme="majorEastAsia" w:hAnsiTheme="majorEastAsia" w:eastAsiaTheme="majorEastAsia"/>
          <w:b/>
          <w:sz w:val="36"/>
          <w:szCs w:val="36"/>
        </w:rPr>
        <w:t>高级课程研修班</w:t>
      </w:r>
    </w:p>
    <w:p w14:paraId="469EFEF7">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r>
        <w:rPr>
          <w:rFonts w:asciiTheme="majorEastAsia" w:hAnsiTheme="majorEastAsia" w:eastAsiaTheme="majorEastAsia"/>
          <w:b/>
          <w:sz w:val="36"/>
          <w:szCs w:val="36"/>
        </w:rPr>
        <w:t>招生简章</w:t>
      </w:r>
    </w:p>
    <w:p w14:paraId="0D6FD7A0">
      <w:pPr>
        <w:pStyle w:val="5"/>
        <w:snapToGrid w:val="0"/>
        <w:spacing w:line="360" w:lineRule="auto"/>
        <w:ind w:left="1680" w:leftChars="100" w:hanging="1470" w:hangingChars="700"/>
        <w:contextualSpacing/>
        <w:jc w:val="center"/>
        <w:rPr>
          <w:rFonts w:asciiTheme="minorEastAsia" w:hAnsiTheme="minorEastAsia" w:eastAsiaTheme="minorEastAsia"/>
          <w:color w:val="FF0000"/>
          <w:sz w:val="21"/>
          <w:szCs w:val="21"/>
        </w:rPr>
      </w:pPr>
      <w:r>
        <w:rPr>
          <w:rFonts w:hint="eastAsia" w:asciiTheme="minorEastAsia" w:hAnsiTheme="minorEastAsia" w:eastAsiaTheme="minorEastAsia"/>
          <w:color w:val="FF0000"/>
          <w:sz w:val="21"/>
          <w:szCs w:val="21"/>
        </w:rPr>
        <w:t>全国招生，设</w:t>
      </w:r>
      <w:r>
        <w:rPr>
          <w:rFonts w:asciiTheme="minorEastAsia" w:hAnsiTheme="minorEastAsia" w:eastAsiaTheme="minorEastAsia"/>
          <w:color w:val="FF0000"/>
          <w:sz w:val="21"/>
          <w:szCs w:val="21"/>
        </w:rPr>
        <w:t>网络教学</w:t>
      </w:r>
    </w:p>
    <w:p w14:paraId="160F1C51">
      <w:pPr>
        <w:pStyle w:val="5"/>
        <w:snapToGrid w:val="0"/>
        <w:spacing w:line="360" w:lineRule="auto"/>
        <w:contextualSpacing/>
        <w:rPr>
          <w:rFonts w:hint="default" w:asciiTheme="minorEastAsia" w:hAnsiTheme="minorEastAsia" w:eastAsiaTheme="minorEastAsia"/>
          <w:sz w:val="21"/>
          <w:szCs w:val="21"/>
          <w:lang w:val="en-US" w:eastAsia="zh-CN"/>
        </w:rPr>
      </w:pPr>
    </w:p>
    <w:p w14:paraId="65E370BF">
      <w:pPr>
        <w:pStyle w:val="5"/>
        <w:numPr>
          <w:ilvl w:val="0"/>
          <w:numId w:val="1"/>
        </w:numPr>
        <w:snapToGrid w:val="0"/>
        <w:spacing w:line="360" w:lineRule="auto"/>
        <w:contextualSpacing/>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院校简介：</w:t>
      </w:r>
    </w:p>
    <w:p w14:paraId="5C0FB250">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江西财经大学是一所财政部、教育部、江西省人民政府共建，以经济、管理类学科为主，法、工、文、理、艺术、教育等学科协调发展的高等财经学府。江西财经大学研究生教育肇始于1985年，1998年获批博士学位授予权，2004年获批博士后科研流动站。经过三十多年的发展，已经形成了一个从硕士到博士后、从学术学位到专业学位、从全日制到在职等多层次的研究生教育体系。</w:t>
      </w:r>
    </w:p>
    <w:p w14:paraId="3BFA202B">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学校现有经济学、管理学、法学、工学、文学、理学、艺术等学科门类；拥有应用经济学、理论经济学、管理科学与工程、工商管理、统计学、法学、马克思主义理论共7个博士后流动站；应用经济学、理论经济学、管理科学与工程、工商管理、统计学、法学、马克思主义理论共7个一级博士学位授权点，39个二级博士学位授权点，13个一级硕士学位授权点，70个二级硕士学位授权点，18个专业硕士学位授权点。</w:t>
      </w:r>
    </w:p>
    <w:p w14:paraId="1E779113">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 xml:space="preserve">    法学院源于1984年设立的经济学系经济法教研室；1995年成立经济法系；1999年经济法系更名为法律系；2001年在法律系的基础上组建法学院。自1998年起先后获得经济法学、刑法学、诉讼法学、宪法学与行政法学、民商法学、法学理论、国际法学、财税法等8个法学硕士学位授予权和法律硕士专业学位授予权，是江西省最早取得法律硕士授予权的单位（2003年），是江西省最早取得法学硕士授予权的单位之一（1998年），是全国财经类院校中最早取得法律硕士授予权的单位之一。2011年法学一级学科硕士点被遴选为江西省高等学校示范性硕士点。2011年在应用经济学一级学科博士点下自主设置法律经济学二级学科博士点。江西法治政府研究中心2013年获批为省高校人文社科重点研究基地。法治江西建设协同创新中心2015年获批为省级协同创新中心。2018年获批法学一级学科博士点。  现招收宪法与行政法学专业研修课程培训班学员，为社会各界提供优秀硕士研究生专业人才。</w:t>
      </w:r>
    </w:p>
    <w:p w14:paraId="04968A9B">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4"/>
          <w:szCs w:val="24"/>
          <w:lang w:val="en-US" w:eastAsia="zh-CN"/>
        </w:rPr>
      </w:pPr>
    </w:p>
    <w:p w14:paraId="22168B5D">
      <w:pPr>
        <w:pStyle w:val="5"/>
        <w:numPr>
          <w:ilvl w:val="0"/>
          <w:numId w:val="1"/>
        </w:numPr>
        <w:snapToGrid w:val="0"/>
        <w:spacing w:line="360" w:lineRule="auto"/>
        <w:contextualSpacing/>
        <w:rPr>
          <w:rFonts w:hint="default" w:cs="宋体" w:asciiTheme="minorEastAsia" w:hAnsiTheme="minorEastAsia" w:eastAsiaTheme="minorEastAsia"/>
          <w:b w:val="0"/>
          <w:bCs w:val="0"/>
          <w:sz w:val="21"/>
          <w:szCs w:val="21"/>
          <w:lang w:val="en-US" w:eastAsia="zh-CN"/>
        </w:rPr>
      </w:pPr>
      <w:r>
        <w:rPr>
          <w:rFonts w:hint="eastAsia" w:asciiTheme="minorEastAsia" w:hAnsiTheme="minorEastAsia" w:eastAsiaTheme="minorEastAsia"/>
          <w:b/>
          <w:bCs/>
          <w:sz w:val="24"/>
          <w:szCs w:val="24"/>
          <w:lang w:val="en-US" w:eastAsia="zh-CN"/>
        </w:rPr>
        <w:t>培养目标：</w:t>
      </w:r>
    </w:p>
    <w:p w14:paraId="24752AE2">
      <w:pPr>
        <w:pStyle w:val="5"/>
        <w:numPr>
          <w:ilvl w:val="0"/>
          <w:numId w:val="0"/>
        </w:numPr>
        <w:snapToGrid w:val="0"/>
        <w:spacing w:line="360" w:lineRule="auto"/>
        <w:ind w:firstLine="420" w:firstLineChars="200"/>
        <w:contextualSpacing/>
        <w:rPr>
          <w:rFonts w:hint="default" w:cs="宋体" w:asciiTheme="minorEastAsia" w:hAnsiTheme="minorEastAsia" w:eastAsiaTheme="minorEastAsia"/>
          <w:b w:val="0"/>
          <w:bCs w:val="0"/>
          <w:sz w:val="21"/>
          <w:szCs w:val="21"/>
          <w:lang w:val="en-US" w:eastAsia="zh-CN"/>
        </w:rPr>
      </w:pPr>
      <w:r>
        <w:rPr>
          <w:rFonts w:hint="eastAsia" w:cs="宋体" w:asciiTheme="minorEastAsia" w:hAnsiTheme="minorEastAsia" w:eastAsiaTheme="minorEastAsia"/>
          <w:b w:val="0"/>
          <w:bCs w:val="0"/>
          <w:sz w:val="21"/>
          <w:szCs w:val="21"/>
          <w:lang w:val="en-US" w:eastAsia="zh-CN"/>
        </w:rPr>
        <w:t>本专业要求学生全面掌握宪法学与行政法学的基本理论知识，形成系统的知识体系，把握本学科的理论研究动态以及前沿问题，熟悉国内外宪法和行政法的基本制度、规范和案例，具备独立的学术科研能力，养成良好的政治素质、职业素质和道德修养，在此基础上培养学生成为具有法理自觉、现实关怀和国际视野的法学教育和实务的，能够从事国家机关、企事业单位和社会团体、相关学科和领域的学术研究或教学工作高端人才。</w:t>
      </w:r>
    </w:p>
    <w:p w14:paraId="4FAA663B">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val="0"/>
          <w:bCs w:val="0"/>
          <w:sz w:val="21"/>
          <w:szCs w:val="21"/>
          <w:lang w:val="en-US" w:eastAsia="zh-CN"/>
        </w:rPr>
      </w:pPr>
    </w:p>
    <w:p w14:paraId="783078E6">
      <w:pPr>
        <w:pStyle w:val="5"/>
        <w:numPr>
          <w:ilvl w:val="0"/>
          <w:numId w:val="1"/>
        </w:numPr>
        <w:snapToGrid w:val="0"/>
        <w:spacing w:line="360" w:lineRule="auto"/>
        <w:contextualSpacing/>
        <w:rPr>
          <w:rFonts w:ascii="Times New Roman" w:hAnsi="Times New Roman"/>
        </w:rPr>
      </w:pPr>
      <w:r>
        <w:rPr>
          <w:rFonts w:hint="eastAsia" w:asciiTheme="minorEastAsia" w:hAnsiTheme="minorEastAsia" w:eastAsiaTheme="minorEastAsia"/>
          <w:b/>
          <w:bCs/>
          <w:sz w:val="24"/>
          <w:szCs w:val="24"/>
          <w:lang w:val="en-US" w:eastAsia="zh-CN"/>
        </w:rPr>
        <w:t>培养优势：</w:t>
      </w:r>
    </w:p>
    <w:p w14:paraId="72BF62A5">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7E8CDBF1">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05F0A75E">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学校拥有结构合理、素质优良、可持续发展的师资队伍，国内外330余名著名学者、专家和企业家受聘为学校客座教授；</w:t>
      </w:r>
    </w:p>
    <w:p w14:paraId="22D98DE3">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【申硕机会多】</w:t>
      </w:r>
      <w:r>
        <w:rPr>
          <w:rFonts w:hint="eastAsia" w:asciiTheme="minorEastAsia" w:hAnsiTheme="minorEastAsia" w:eastAsiaTheme="minorEastAsia" w:cstheme="minorEastAsia"/>
          <w:b w:val="0"/>
          <w:bCs w:val="0"/>
          <w:sz w:val="21"/>
          <w:szCs w:val="21"/>
          <w:lang w:val="en-US" w:eastAsia="zh-CN"/>
        </w:rPr>
        <w:t>：完成课业安排，只要达到申硕条件者，可申请4年内每年参加同等学力申硕考试；</w:t>
      </w:r>
    </w:p>
    <w:p w14:paraId="01A85401">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69E00734">
      <w:pPr>
        <w:pStyle w:val="5"/>
        <w:numPr>
          <w:ilvl w:val="0"/>
          <w:numId w:val="0"/>
        </w:numPr>
        <w:snapToGrid w:val="0"/>
        <w:spacing w:line="360" w:lineRule="auto"/>
        <w:contextualSpacing/>
        <w:rPr>
          <w:rFonts w:hint="eastAsia" w:asciiTheme="minorEastAsia" w:hAnsiTheme="minorEastAsia" w:eastAsiaTheme="minorEastAsia" w:cstheme="minorEastAsia"/>
          <w:b/>
          <w:bCs/>
          <w:sz w:val="21"/>
          <w:szCs w:val="21"/>
          <w:lang w:val="en-US" w:eastAsia="zh-CN"/>
        </w:rPr>
      </w:pPr>
    </w:p>
    <w:p w14:paraId="08EDAB1E">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课程设置：</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0F37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6D83947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宪法与行政法</w:t>
            </w:r>
            <w:r>
              <w:rPr>
                <w:rFonts w:hint="eastAsia" w:asciiTheme="minorEastAsia" w:hAnsiTheme="minorEastAsia" w:eastAsiaTheme="minorEastAsia" w:cstheme="minorEastAsia"/>
                <w:b/>
                <w:sz w:val="21"/>
                <w:szCs w:val="21"/>
              </w:rPr>
              <w:t>专业课程</w:t>
            </w:r>
          </w:p>
        </w:tc>
      </w:tr>
      <w:tr w14:paraId="76E3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20075CCA">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学位课</w:t>
            </w:r>
          </w:p>
        </w:tc>
        <w:tc>
          <w:tcPr>
            <w:tcW w:w="3402" w:type="dxa"/>
          </w:tcPr>
          <w:p w14:paraId="07C78E4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中国特色社会主义理论与实践</w:t>
            </w:r>
          </w:p>
        </w:tc>
        <w:tc>
          <w:tcPr>
            <w:tcW w:w="3311" w:type="dxa"/>
          </w:tcPr>
          <w:p w14:paraId="026E608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英语</w:t>
            </w:r>
          </w:p>
        </w:tc>
      </w:tr>
      <w:tr w14:paraId="1CF7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635A0FE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17D1CAA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马克思主义与社会科学方法论</w:t>
            </w:r>
          </w:p>
        </w:tc>
        <w:tc>
          <w:tcPr>
            <w:tcW w:w="3311" w:type="dxa"/>
          </w:tcPr>
          <w:p w14:paraId="16499F0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民法总论专题</w:t>
            </w:r>
          </w:p>
        </w:tc>
      </w:tr>
      <w:tr w14:paraId="1C2B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62219A4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778DB05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民法与民事诉讼原理与实务</w:t>
            </w:r>
            <w:r>
              <w:rPr>
                <w:rFonts w:hint="eastAsia" w:asciiTheme="minorEastAsia" w:hAnsiTheme="minorEastAsia" w:cstheme="minorEastAsia"/>
                <w:sz w:val="21"/>
                <w:szCs w:val="21"/>
                <w:lang w:val="en-US" w:eastAsia="zh-CN"/>
              </w:rPr>
              <w:t>1</w:t>
            </w:r>
          </w:p>
        </w:tc>
        <w:tc>
          <w:tcPr>
            <w:tcW w:w="3311" w:type="dxa"/>
          </w:tcPr>
          <w:p w14:paraId="4B22365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行政法语行政诉讼原理与实务</w:t>
            </w:r>
          </w:p>
        </w:tc>
      </w:tr>
      <w:tr w14:paraId="0B00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vMerge w:val="continue"/>
          </w:tcPr>
          <w:p w14:paraId="690B468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6339B2C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刑法与刑事诉讼原理与实务</w:t>
            </w:r>
            <w:r>
              <w:rPr>
                <w:rFonts w:hint="eastAsia" w:asciiTheme="minorEastAsia" w:hAnsiTheme="minorEastAsia" w:cstheme="minorEastAsia"/>
                <w:sz w:val="21"/>
                <w:szCs w:val="21"/>
                <w:lang w:val="en-US" w:eastAsia="zh-CN"/>
              </w:rPr>
              <w:t>2</w:t>
            </w:r>
          </w:p>
        </w:tc>
        <w:tc>
          <w:tcPr>
            <w:tcW w:w="3311" w:type="dxa"/>
          </w:tcPr>
          <w:p w14:paraId="2B68435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法律职业伦理</w:t>
            </w:r>
          </w:p>
        </w:tc>
      </w:tr>
      <w:tr w14:paraId="3B82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08D9CAA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A0EA30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行政法语行政诉讼原理与实务</w:t>
            </w:r>
          </w:p>
        </w:tc>
        <w:tc>
          <w:tcPr>
            <w:tcW w:w="3311" w:type="dxa"/>
          </w:tcPr>
          <w:p w14:paraId="314B836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宪法学</w:t>
            </w:r>
          </w:p>
        </w:tc>
      </w:tr>
      <w:tr w14:paraId="5D35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6AB87FEE">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453D6F8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证据法</w:t>
            </w:r>
          </w:p>
        </w:tc>
        <w:tc>
          <w:tcPr>
            <w:tcW w:w="3311" w:type="dxa"/>
          </w:tcPr>
          <w:p w14:paraId="01097FE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知识产权法</w:t>
            </w:r>
          </w:p>
        </w:tc>
      </w:tr>
      <w:tr w14:paraId="1859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0B95700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124F507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国际法</w:t>
            </w:r>
          </w:p>
        </w:tc>
        <w:tc>
          <w:tcPr>
            <w:tcW w:w="3311" w:type="dxa"/>
          </w:tcPr>
          <w:p w14:paraId="74ED518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劳动与社会保障法</w:t>
            </w:r>
          </w:p>
        </w:tc>
      </w:tr>
      <w:tr w14:paraId="3DEE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60337D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6C7D148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环境资源法</w:t>
            </w:r>
          </w:p>
        </w:tc>
        <w:tc>
          <w:tcPr>
            <w:tcW w:w="3311" w:type="dxa"/>
          </w:tcPr>
          <w:p w14:paraId="34CBC90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商法专题</w:t>
            </w:r>
          </w:p>
        </w:tc>
      </w:tr>
    </w:tbl>
    <w:p w14:paraId="532CF1B1">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textAlignment w:val="auto"/>
        <w:rPr>
          <w:rFonts w:hint="eastAsia" w:asciiTheme="minorEastAsia" w:hAnsiTheme="minorEastAsia" w:eastAsiaTheme="minorEastAsia" w:cstheme="minorEastAsia"/>
          <w:sz w:val="21"/>
          <w:szCs w:val="21"/>
        </w:rPr>
      </w:pPr>
    </w:p>
    <w:p w14:paraId="4CCDE83E">
      <w:pPr>
        <w:pStyle w:val="5"/>
        <w:keepNext w:val="0"/>
        <w:keepLines w:val="0"/>
        <w:pageBreakBefore w:val="0"/>
        <w:kinsoku/>
        <w:wordWrap/>
        <w:overflowPunct/>
        <w:topLinePunct w:val="0"/>
        <w:autoSpaceDE/>
        <w:autoSpaceDN/>
        <w:bidi w:val="0"/>
        <w:adjustRightInd/>
        <w:snapToGrid w:val="0"/>
        <w:spacing w:beforeAutospacing="0" w:afterAutospacing="0" w:line="360" w:lineRule="auto"/>
        <w:ind w:firstLine="2730" w:firstLineChars="1300"/>
        <w:contextualSpacing/>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77DD478E">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textAlignment w:val="auto"/>
        <w:rPr>
          <w:rFonts w:hint="default" w:asciiTheme="minorEastAsia" w:hAnsiTheme="minorEastAsia" w:eastAsiaTheme="minorEastAsia" w:cstheme="minorEastAsia"/>
          <w:sz w:val="21"/>
          <w:szCs w:val="21"/>
          <w:lang w:val="en-US" w:eastAsia="zh-CN"/>
        </w:rPr>
      </w:pPr>
    </w:p>
    <w:p w14:paraId="0591A01C">
      <w:pPr>
        <w:pStyle w:val="5"/>
        <w:numPr>
          <w:ilvl w:val="0"/>
          <w:numId w:val="1"/>
        </w:numPr>
        <w:snapToGrid w:val="0"/>
        <w:spacing w:line="360" w:lineRule="auto"/>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报名条件：</w:t>
      </w:r>
    </w:p>
    <w:p w14:paraId="55706D08">
      <w:pPr>
        <w:pStyle w:val="5"/>
        <w:numPr>
          <w:ilvl w:val="0"/>
          <w:numId w:val="3"/>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大专以上学历者即可报名；</w:t>
      </w:r>
    </w:p>
    <w:p w14:paraId="1178F932">
      <w:pPr>
        <w:pStyle w:val="5"/>
        <w:numPr>
          <w:ilvl w:val="0"/>
          <w:numId w:val="0"/>
        </w:numPr>
        <w:snapToGrid w:val="0"/>
        <w:spacing w:line="360" w:lineRule="auto"/>
        <w:ind w:firstLine="420" w:firstLineChars="200"/>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kern w:val="0"/>
          <w:sz w:val="21"/>
          <w:szCs w:val="21"/>
          <w:lang w:val="en-US" w:eastAsia="zh-CN" w:bidi="ar-SA"/>
        </w:rPr>
        <w:t>2、大学本科毕业并获得学士学位后工作3年以上</w:t>
      </w:r>
      <w:r>
        <w:rPr>
          <w:rFonts w:hint="eastAsia" w:asciiTheme="minorEastAsia" w:hAnsiTheme="minorEastAsia" w:cstheme="minorEastAsia"/>
          <w:kern w:val="0"/>
          <w:sz w:val="21"/>
          <w:szCs w:val="21"/>
          <w:lang w:val="en-US" w:eastAsia="zh-CN" w:bidi="ar-SA"/>
        </w:rPr>
        <w:t>，</w:t>
      </w:r>
      <w:r>
        <w:rPr>
          <w:rFonts w:hint="eastAsia" w:asciiTheme="minorEastAsia" w:hAnsiTheme="minorEastAsia" w:eastAsiaTheme="minorEastAsia" w:cstheme="minorEastAsia"/>
          <w:kern w:val="0"/>
          <w:sz w:val="21"/>
          <w:szCs w:val="21"/>
          <w:lang w:val="en-US" w:eastAsia="zh-CN" w:bidi="ar-SA"/>
        </w:rPr>
        <w:t>虽无学士学位但已获得硕士或博士学位者</w:t>
      </w:r>
      <w:r>
        <w:rPr>
          <w:rFonts w:hint="eastAsia" w:asciiTheme="minorEastAsia" w:hAnsiTheme="minorEastAsia" w:cstheme="minorEastAsia"/>
          <w:kern w:val="0"/>
          <w:sz w:val="21"/>
          <w:szCs w:val="21"/>
          <w:lang w:val="en-US" w:eastAsia="zh-CN" w:bidi="ar-SA"/>
        </w:rPr>
        <w:t>；</w:t>
      </w:r>
    </w:p>
    <w:p w14:paraId="6CC1D9F4">
      <w:pPr>
        <w:pStyle w:val="5"/>
        <w:numPr>
          <w:ilvl w:val="0"/>
          <w:numId w:val="0"/>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3、</w:t>
      </w:r>
      <w:r>
        <w:rPr>
          <w:rFonts w:hint="eastAsia" w:asciiTheme="minorEastAsia" w:hAnsiTheme="minorEastAsia" w:eastAsiaTheme="minorEastAsia" w:cstheme="minorEastAsia"/>
          <w:kern w:val="0"/>
          <w:sz w:val="21"/>
          <w:szCs w:val="21"/>
          <w:lang w:val="en-US" w:eastAsia="zh-CN" w:bidi="ar-SA"/>
        </w:rPr>
        <w:t>通过教育部留学服务中心认证的国（境）外学士、硕士或博士学位获得者</w:t>
      </w:r>
      <w:r>
        <w:rPr>
          <w:rFonts w:hint="eastAsia" w:asciiTheme="minorEastAsia" w:hAnsiTheme="minorEastAsia" w:cstheme="minorEastAsia"/>
          <w:kern w:val="0"/>
          <w:sz w:val="21"/>
          <w:szCs w:val="21"/>
          <w:lang w:val="en-US" w:eastAsia="zh-CN" w:bidi="ar-SA"/>
        </w:rPr>
        <w:t>。</w:t>
      </w:r>
    </w:p>
    <w:p w14:paraId="343DD7FE">
      <w:pPr>
        <w:pStyle w:val="5"/>
        <w:numPr>
          <w:ilvl w:val="0"/>
          <w:numId w:val="0"/>
        </w:numPr>
        <w:snapToGrid w:val="0"/>
        <w:spacing w:line="360" w:lineRule="auto"/>
        <w:contextualSpacing/>
        <w:rPr>
          <w:rFonts w:hint="default" w:asciiTheme="minorEastAsia" w:hAnsiTheme="minorEastAsia" w:cstheme="minorEastAsia"/>
          <w:kern w:val="0"/>
          <w:sz w:val="21"/>
          <w:szCs w:val="21"/>
          <w:lang w:val="en-US" w:eastAsia="zh-CN" w:bidi="ar-SA"/>
        </w:rPr>
      </w:pPr>
    </w:p>
    <w:p w14:paraId="2AE71E37">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报名材料：</w:t>
      </w:r>
    </w:p>
    <w:p w14:paraId="4C69825F">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1、本人持二代居民身份证原件及复印件；</w:t>
      </w:r>
    </w:p>
    <w:p w14:paraId="38226E8D">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2、本人学历和学位证书、毕业证书原件及复印件；</w:t>
      </w:r>
    </w:p>
    <w:p w14:paraId="1113A2CD">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3、近期2张蓝底一寸照片2张蓝底二寸照片；</w:t>
      </w:r>
    </w:p>
    <w:p w14:paraId="6C3CBBE6">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4B24461D">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培养方式和学制：</w:t>
      </w:r>
    </w:p>
    <w:p w14:paraId="1113CAB1">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教学方式：每月集中双休日采用线上/线下授课，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2FF40314">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sz w:val="21"/>
          <w:szCs w:val="21"/>
          <w:lang w:val="en-US" w:eastAsia="zh-CN"/>
        </w:rPr>
        <w:t xml:space="preserve">学制：1年    </w:t>
      </w:r>
    </w:p>
    <w:p w14:paraId="7ECCB9D8">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00BDC812">
      <w:pPr>
        <w:pStyle w:val="5"/>
        <w:numPr>
          <w:ilvl w:val="0"/>
          <w:numId w:val="1"/>
        </w:numPr>
        <w:snapToGrid w:val="0"/>
        <w:spacing w:line="360" w:lineRule="auto"/>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获取证书：</w:t>
      </w:r>
    </w:p>
    <w:p w14:paraId="0AC8F720">
      <w:pPr>
        <w:pStyle w:val="5"/>
        <w:numPr>
          <w:ilvl w:val="0"/>
          <w:numId w:val="4"/>
        </w:numPr>
        <w:snapToGrid w:val="0"/>
        <w:spacing w:line="360" w:lineRule="auto"/>
        <w:ind w:firstLine="420" w:firstLineChars="200"/>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学员通过所报专业硕士研究生所有必修课程和选修课程考试，修满学分成绩合格，课程学习结束时发给江西财经大学硕士研究生课程班结业证书。</w:t>
      </w:r>
    </w:p>
    <w:p w14:paraId="47EF7FD4">
      <w:pPr>
        <w:pStyle w:val="5"/>
        <w:numPr>
          <w:ilvl w:val="0"/>
          <w:numId w:val="0"/>
        </w:numPr>
        <w:snapToGrid w:val="0"/>
        <w:spacing w:line="360" w:lineRule="auto"/>
        <w:ind w:firstLine="420" w:firstLineChars="200"/>
        <w:contextualSpacing/>
        <w:rPr>
          <w:rFonts w:hint="default" w:asciiTheme="minorEastAsia" w:hAnsiTheme="minorEastAsia" w:eastAsia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2、完成所有课程学习并且考核合格这，满足同等学力申请硕士学位条件学员，可参加全国统一考试，成绩合格达标者可进入学位论文写作阶段，论文通过评审、答辩，并经由我校学位评定委员会批准，可授予江西财经大学法学硕士学位并颁发证书。</w:t>
      </w:r>
    </w:p>
    <w:p w14:paraId="3585A661">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597B691A">
      <w:pPr>
        <w:pStyle w:val="5"/>
        <w:numPr>
          <w:ilvl w:val="0"/>
          <w:numId w:val="1"/>
        </w:numPr>
        <w:snapToGrid w:val="0"/>
        <w:spacing w:line="360" w:lineRule="auto"/>
        <w:contextualSpacing/>
        <w:rPr>
          <w:rFonts w:hint="eastAsia" w:ascii="宋体" w:hAnsi="宋体" w:eastAsia="宋体" w:cs="宋体"/>
          <w:sz w:val="24"/>
          <w:szCs w:val="24"/>
          <w:lang w:val="en-US" w:eastAsia="zh-CN"/>
        </w:rPr>
      </w:pPr>
      <w:r>
        <w:rPr>
          <w:rFonts w:hint="eastAsia" w:asciiTheme="minorEastAsia" w:hAnsiTheme="minorEastAsia" w:eastAsiaTheme="minorEastAsia"/>
          <w:b/>
          <w:bCs/>
          <w:sz w:val="24"/>
          <w:szCs w:val="24"/>
          <w:lang w:val="en-US" w:eastAsia="zh-CN"/>
        </w:rPr>
        <w:t>收费标准：</w:t>
      </w:r>
    </w:p>
    <w:p w14:paraId="48DFA408">
      <w:pPr>
        <w:pStyle w:val="5"/>
        <w:numPr>
          <w:ilvl w:val="0"/>
          <w:numId w:val="0"/>
        </w:numPr>
        <w:snapToGrid w:val="0"/>
        <w:spacing w:line="360" w:lineRule="auto"/>
        <w:ind w:firstLine="420" w:firstLineChars="200"/>
        <w:contextualSpacing/>
        <w:rPr>
          <w:rFonts w:hint="eastAsia" w:ascii="宋体" w:hAnsi="宋体" w:eastAsia="宋体" w:cs="宋体"/>
          <w:sz w:val="24"/>
          <w:szCs w:val="24"/>
          <w:lang w:val="en-US" w:eastAsia="zh-CN"/>
        </w:rPr>
      </w:pPr>
      <w:r>
        <w:rPr>
          <w:rFonts w:hint="eastAsia" w:ascii="宋体" w:hAnsi="宋体" w:eastAsia="宋体" w:cs="宋体"/>
          <w:b w:val="0"/>
          <w:bCs/>
          <w:color w:val="auto"/>
          <w:sz w:val="21"/>
          <w:szCs w:val="21"/>
          <w:lang w:val="en-US" w:eastAsia="zh-CN"/>
        </w:rPr>
        <w:t>学费缴纳分两段制进行，即课程学习阶段和撰写学位论文和论文答辩阶段，课程学习培养阶段学费为</w:t>
      </w:r>
      <w:r>
        <w:rPr>
          <w:rFonts w:hint="eastAsia" w:cs="宋体"/>
          <w:b w:val="0"/>
          <w:bCs/>
          <w:color w:val="auto"/>
          <w:sz w:val="21"/>
          <w:szCs w:val="21"/>
          <w:lang w:val="en-US" w:eastAsia="zh-CN"/>
        </w:rPr>
        <w:t>18</w:t>
      </w:r>
      <w:r>
        <w:rPr>
          <w:rFonts w:hint="eastAsia" w:ascii="宋体" w:hAnsi="宋体" w:eastAsia="宋体" w:cs="宋体"/>
          <w:b w:val="0"/>
          <w:bCs/>
          <w:color w:val="auto"/>
          <w:sz w:val="21"/>
          <w:szCs w:val="21"/>
          <w:lang w:val="en-US" w:eastAsia="zh-CN"/>
        </w:rPr>
        <w:t xml:space="preserve">000元，论文指导费为8000元，收费要求以学校实际要求为准。  </w:t>
      </w:r>
      <w:r>
        <w:rPr>
          <w:rFonts w:hint="eastAsia" w:ascii="宋体" w:hAnsi="宋体" w:eastAsia="宋体" w:cs="宋体"/>
          <w:sz w:val="24"/>
          <w:szCs w:val="24"/>
          <w:lang w:val="en-US" w:eastAsia="zh-CN"/>
        </w:rPr>
        <w:t xml:space="preserve"> </w:t>
      </w:r>
    </w:p>
    <w:p w14:paraId="05310E27">
      <w:pPr>
        <w:pStyle w:val="5"/>
        <w:snapToGrid w:val="0"/>
        <w:spacing w:line="360" w:lineRule="auto"/>
        <w:contextualSpacing/>
        <w:rPr>
          <w:rFonts w:asciiTheme="minorEastAsia" w:hAnsiTheme="minorEastAsia"/>
          <w:szCs w:val="21"/>
        </w:rPr>
      </w:pPr>
      <w:bookmarkStart w:id="0" w:name="_GoBack"/>
      <w:bookmarkEnd w:id="0"/>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E7E31">
    <w:pPr>
      <w:pStyle w:val="4"/>
      <w:tabs>
        <w:tab w:val="center" w:pos="4213"/>
        <w:tab w:val="left" w:pos="6891"/>
      </w:tabs>
      <w:jc w:val="lef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66690" cy="5266690"/>
          <wp:effectExtent l="0" t="0" r="10160" b="10160"/>
          <wp:wrapNone/>
          <wp:docPr id="4" name="WordPictureWatermark11321706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13217064"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BEC99">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66690" cy="5266690"/>
          <wp:effectExtent l="0" t="0" r="10160" b="10160"/>
          <wp:wrapNone/>
          <wp:docPr id="3" name="WordPictureWatermark113217063"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13217063"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A7533">
    <w:pPr>
      <w:pStyle w:val="4"/>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66690" cy="5266690"/>
          <wp:effectExtent l="0" t="0" r="10160" b="10160"/>
          <wp:wrapNone/>
          <wp:docPr id="1" name="WordPictureWatermark11321706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13217062"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C000E8B9"/>
    <w:multiLevelType w:val="singleLevel"/>
    <w:tmpl w:val="C000E8B9"/>
    <w:lvl w:ilvl="0" w:tentative="0">
      <w:start w:val="1"/>
      <w:numFmt w:val="decimal"/>
      <w:suff w:val="nothing"/>
      <w:lvlText w:val="%1、"/>
      <w:lvlJc w:val="left"/>
      <w:rPr>
        <w:rFonts w:hint="default"/>
        <w:b/>
        <w:bCs/>
      </w:rPr>
    </w:lvl>
  </w:abstractNum>
  <w:abstractNum w:abstractNumId="2">
    <w:nsid w:val="FD979A40"/>
    <w:multiLevelType w:val="singleLevel"/>
    <w:tmpl w:val="FD979A40"/>
    <w:lvl w:ilvl="0" w:tentative="0">
      <w:start w:val="1"/>
      <w:numFmt w:val="chineseCounting"/>
      <w:suff w:val="nothing"/>
      <w:lvlText w:val="%1、"/>
      <w:lvlJc w:val="left"/>
      <w:rPr>
        <w:rFonts w:hint="eastAsia"/>
        <w:b/>
        <w:bCs/>
      </w:rPr>
    </w:lvl>
  </w:abstractNum>
  <w:abstractNum w:abstractNumId="3">
    <w:nsid w:val="62366322"/>
    <w:multiLevelType w:val="singleLevel"/>
    <w:tmpl w:val="62366322"/>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00B032C0"/>
    <w:rsid w:val="00082F90"/>
    <w:rsid w:val="0008532F"/>
    <w:rsid w:val="000A69B5"/>
    <w:rsid w:val="000E73B0"/>
    <w:rsid w:val="001514BE"/>
    <w:rsid w:val="00160303"/>
    <w:rsid w:val="001904E4"/>
    <w:rsid w:val="00223CE0"/>
    <w:rsid w:val="002519DA"/>
    <w:rsid w:val="00296044"/>
    <w:rsid w:val="002B1210"/>
    <w:rsid w:val="002B1B2B"/>
    <w:rsid w:val="004B538B"/>
    <w:rsid w:val="004E753A"/>
    <w:rsid w:val="004F5BC4"/>
    <w:rsid w:val="00556C91"/>
    <w:rsid w:val="005B2E48"/>
    <w:rsid w:val="00715789"/>
    <w:rsid w:val="00717213"/>
    <w:rsid w:val="00764FAE"/>
    <w:rsid w:val="007B0553"/>
    <w:rsid w:val="007D1D49"/>
    <w:rsid w:val="00800692"/>
    <w:rsid w:val="00810410"/>
    <w:rsid w:val="009D1993"/>
    <w:rsid w:val="00A16BE0"/>
    <w:rsid w:val="00AB0641"/>
    <w:rsid w:val="00AC5EE8"/>
    <w:rsid w:val="00B032C0"/>
    <w:rsid w:val="00B35C22"/>
    <w:rsid w:val="00B552D8"/>
    <w:rsid w:val="00BF6C72"/>
    <w:rsid w:val="00C5768A"/>
    <w:rsid w:val="00CC3E5F"/>
    <w:rsid w:val="00D00E82"/>
    <w:rsid w:val="00D61FBE"/>
    <w:rsid w:val="00D95A35"/>
    <w:rsid w:val="00DA56A4"/>
    <w:rsid w:val="00E1601C"/>
    <w:rsid w:val="00E35455"/>
    <w:rsid w:val="00EB2B73"/>
    <w:rsid w:val="00EB77DD"/>
    <w:rsid w:val="00EC57B5"/>
    <w:rsid w:val="00F03EC2"/>
    <w:rsid w:val="00F53410"/>
    <w:rsid w:val="00FA4E16"/>
    <w:rsid w:val="00FE08FD"/>
    <w:rsid w:val="02DA7AD5"/>
    <w:rsid w:val="03D67A71"/>
    <w:rsid w:val="07A20778"/>
    <w:rsid w:val="08E7643E"/>
    <w:rsid w:val="0AB903B7"/>
    <w:rsid w:val="1236663D"/>
    <w:rsid w:val="15155986"/>
    <w:rsid w:val="15F72CBA"/>
    <w:rsid w:val="19C27AC0"/>
    <w:rsid w:val="1C321559"/>
    <w:rsid w:val="1E871148"/>
    <w:rsid w:val="205138FC"/>
    <w:rsid w:val="225564EB"/>
    <w:rsid w:val="23165E81"/>
    <w:rsid w:val="262E332F"/>
    <w:rsid w:val="2D860F82"/>
    <w:rsid w:val="3195586F"/>
    <w:rsid w:val="33114748"/>
    <w:rsid w:val="3BD007CA"/>
    <w:rsid w:val="3C9B62A5"/>
    <w:rsid w:val="49766A5B"/>
    <w:rsid w:val="49B24E9D"/>
    <w:rsid w:val="4F5817CA"/>
    <w:rsid w:val="576A35BB"/>
    <w:rsid w:val="5B1A7BA1"/>
    <w:rsid w:val="5E811B56"/>
    <w:rsid w:val="5EAF647B"/>
    <w:rsid w:val="613967DA"/>
    <w:rsid w:val="6AD678EF"/>
    <w:rsid w:val="77F2537D"/>
    <w:rsid w:val="79763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semiHidden/>
    <w:unhideWhenUsed/>
    <w:qFormat/>
    <w:uiPriority w:val="99"/>
    <w:rPr>
      <w:color w:val="0000FF"/>
      <w:u w:val="single"/>
    </w:rPr>
  </w:style>
  <w:style w:type="character" w:customStyle="1" w:styleId="10">
    <w:name w:val="批注框文本 Char"/>
    <w:basedOn w:val="8"/>
    <w:link w:val="2"/>
    <w:autoRedefine/>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1835</Words>
  <Characters>1896</Characters>
  <Lines>14</Lines>
  <Paragraphs>3</Paragraphs>
  <TotalTime>6</TotalTime>
  <ScaleCrop>false</ScaleCrop>
  <LinksUpToDate>false</LinksUpToDate>
  <CharactersWithSpaces>1919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2021-03-07T09:19:00Z</dcterms:created>
  <dc:creator>微软用户</dc:creator>
  <cp:lastModifiedBy>Administrator</cp:lastModifiedBy>
  <dcterms:modified xsi:type="dcterms:W3CDTF">2026-01-14T10:52:46Z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2B28690F05124067BE2BEFAD02DD0C01</vt:lpwstr>
  </property>
  <property fmtid="{D5CDD505-2E9C-101B-9397-08002B2CF9AE}" pid="4" name="KSOTemplateDocerSaveRecord">
    <vt:lpwstr>eyJoZGlkIjoiMjJkYmYyOGQwNjU2YTFjYjBlYWQzZDdlZjc2Nzk1ZWYifQ==</vt:lpwstr>
  </property>
</Properties>
</file>