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07824">
      <w:pPr>
        <w:pStyle w:val="5"/>
        <w:snapToGrid w:val="0"/>
        <w:spacing w:line="360" w:lineRule="auto"/>
        <w:ind w:left="3150" w:hanging="3150" w:hangingChars="1500"/>
        <w:contextualSpacing/>
        <w:rPr>
          <w:rFonts w:asciiTheme="majorEastAsia" w:hAnsiTheme="majorEastAsia" w:eastAsiaTheme="majorEastAsia"/>
          <w:b/>
          <w:sz w:val="36"/>
          <w:szCs w:val="36"/>
        </w:rPr>
      </w:pPr>
      <w:r>
        <w:rPr>
          <w:rFonts w:hint="eastAsia" w:asciiTheme="minorEastAsia" w:hAnsiTheme="minorEastAsia" w:eastAsiaTheme="minorEastAsia"/>
          <w:sz w:val="21"/>
          <w:szCs w:val="21"/>
        </w:rPr>
        <w:drawing>
          <wp:inline distT="0" distB="0" distL="0" distR="0">
            <wp:extent cx="5274310" cy="1005205"/>
            <wp:effectExtent l="19050" t="0" r="2540" b="0"/>
            <wp:docPr id="2" name="图片 1" descr="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11.png"/>
                    <pic:cNvPicPr>
                      <a:picLocks noChangeAspect="1"/>
                    </pic:cNvPicPr>
                  </pic:nvPicPr>
                  <pic:blipFill>
                    <a:blip r:embed="rId7" cstate="print"/>
                    <a:stretch>
                      <a:fillRect/>
                    </a:stretch>
                  </pic:blipFill>
                  <pic:spPr>
                    <a:xfrm>
                      <a:off x="0" y="0"/>
                      <a:ext cx="5274310" cy="1005205"/>
                    </a:xfrm>
                    <a:prstGeom prst="rect">
                      <a:avLst/>
                    </a:prstGeom>
                  </pic:spPr>
                </pic:pic>
              </a:graphicData>
            </a:graphic>
          </wp:inline>
        </w:drawing>
      </w:r>
    </w:p>
    <w:p w14:paraId="22678273">
      <w:pPr>
        <w:pStyle w:val="5"/>
        <w:snapToGrid w:val="0"/>
        <w:spacing w:line="360" w:lineRule="auto"/>
        <w:ind w:left="2740" w:leftChars="100" w:hanging="2530" w:hangingChars="700"/>
        <w:contextualSpacing/>
        <w:jc w:val="center"/>
        <w:rPr>
          <w:rFonts w:asciiTheme="majorEastAsia" w:hAnsiTheme="majorEastAsia" w:eastAsiaTheme="majorEastAsia"/>
          <w:b/>
          <w:sz w:val="30"/>
          <w:szCs w:val="30"/>
        </w:rPr>
      </w:pPr>
      <w:r>
        <w:rPr>
          <w:rFonts w:hint="eastAsia" w:asciiTheme="majorEastAsia" w:hAnsiTheme="majorEastAsia" w:eastAsiaTheme="majorEastAsia"/>
          <w:b/>
          <w:sz w:val="36"/>
          <w:szCs w:val="36"/>
          <w:lang w:val="en-US" w:eastAsia="zh-CN"/>
        </w:rPr>
        <w:t xml:space="preserve"> </w:t>
      </w:r>
      <w:r>
        <w:rPr>
          <w:rFonts w:asciiTheme="majorEastAsia" w:hAnsiTheme="majorEastAsia" w:eastAsiaTheme="majorEastAsia"/>
          <w:b/>
          <w:sz w:val="36"/>
          <w:szCs w:val="36"/>
        </w:rPr>
        <w:t>江西财经大学</w:t>
      </w:r>
      <w:r>
        <w:rPr>
          <w:rFonts w:hint="eastAsia" w:asciiTheme="majorEastAsia" w:hAnsiTheme="majorEastAsia" w:eastAsiaTheme="majorEastAsia"/>
          <w:b/>
          <w:sz w:val="36"/>
          <w:szCs w:val="36"/>
          <w:lang w:val="en-US" w:eastAsia="zh-CN"/>
        </w:rPr>
        <w:t>管理科学与工程专业</w:t>
      </w:r>
      <w:r>
        <w:rPr>
          <w:rFonts w:asciiTheme="majorEastAsia" w:hAnsiTheme="majorEastAsia" w:eastAsiaTheme="majorEastAsia"/>
          <w:b/>
          <w:sz w:val="36"/>
          <w:szCs w:val="36"/>
        </w:rPr>
        <w:t>高级</w:t>
      </w:r>
      <w:r>
        <w:rPr>
          <w:rFonts w:hint="eastAsia" w:asciiTheme="majorEastAsia" w:hAnsiTheme="majorEastAsia" w:eastAsiaTheme="majorEastAsia"/>
          <w:b/>
          <w:sz w:val="36"/>
          <w:szCs w:val="36"/>
          <w:lang w:val="en-US" w:eastAsia="zh-CN"/>
        </w:rPr>
        <w:t xml:space="preserve">         </w:t>
      </w:r>
      <w:r>
        <w:rPr>
          <w:rFonts w:asciiTheme="majorEastAsia" w:hAnsiTheme="majorEastAsia" w:eastAsiaTheme="majorEastAsia"/>
          <w:b/>
          <w:sz w:val="36"/>
          <w:szCs w:val="36"/>
        </w:rPr>
        <w:t>课程研修班招生简章</w:t>
      </w:r>
    </w:p>
    <w:p w14:paraId="6FDDF51D">
      <w:pPr>
        <w:pStyle w:val="5"/>
        <w:snapToGrid w:val="0"/>
        <w:spacing w:line="360" w:lineRule="auto"/>
        <w:contextualSpacing/>
        <w:jc w:val="center"/>
        <w:rPr>
          <w:rFonts w:asciiTheme="minorEastAsia" w:hAnsiTheme="minorEastAsia" w:eastAsiaTheme="minorEastAsia"/>
          <w:color w:val="FF0000"/>
          <w:sz w:val="21"/>
          <w:szCs w:val="21"/>
        </w:rPr>
      </w:pPr>
      <w:r>
        <w:rPr>
          <w:rFonts w:hint="eastAsia" w:asciiTheme="minorEastAsia" w:hAnsiTheme="minorEastAsia" w:eastAsiaTheme="minorEastAsia"/>
          <w:color w:val="FF0000"/>
          <w:sz w:val="21"/>
          <w:szCs w:val="21"/>
        </w:rPr>
        <w:t>全国招生，设</w:t>
      </w:r>
      <w:r>
        <w:rPr>
          <w:rFonts w:asciiTheme="minorEastAsia" w:hAnsiTheme="minorEastAsia" w:eastAsiaTheme="minorEastAsia"/>
          <w:color w:val="FF0000"/>
          <w:sz w:val="21"/>
          <w:szCs w:val="21"/>
        </w:rPr>
        <w:t>网络教学</w:t>
      </w:r>
    </w:p>
    <w:p w14:paraId="5D42D345">
      <w:pPr>
        <w:pStyle w:val="5"/>
        <w:snapToGrid w:val="0"/>
        <w:spacing w:line="360" w:lineRule="auto"/>
        <w:contextualSpacing/>
        <w:rPr>
          <w:rFonts w:hint="default" w:asciiTheme="minorEastAsia" w:hAnsiTheme="minorEastAsia" w:eastAsiaTheme="minorEastAsia"/>
          <w:sz w:val="21"/>
          <w:szCs w:val="21"/>
          <w:lang w:val="en-US" w:eastAsia="zh-CN"/>
        </w:rPr>
      </w:pPr>
    </w:p>
    <w:p w14:paraId="7EDDD88E">
      <w:pPr>
        <w:pStyle w:val="5"/>
        <w:numPr>
          <w:ilvl w:val="0"/>
          <w:numId w:val="1"/>
        </w:numPr>
        <w:snapToGrid w:val="0"/>
        <w:spacing w:line="360" w:lineRule="auto"/>
        <w:contextualSpacing/>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院校简介：</w:t>
      </w:r>
    </w:p>
    <w:p w14:paraId="48D8E5B4">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江西财经大学是一所财政部、教育部、江西省人民政府共建，以经济、管理类学科为主，法、工、文、理、艺术、教育等学科协调发展的高等财经学府。江西财经大学研究生教育肇始于1985年，1998年获批博士学位授予权，2004年获批博士后科研流动站。经过三十多年的发展，已经形成了一个从硕士到博士后、从学术学位到专业学位、从全日制到在职等多层次的研究生教育体系。现有经济学、管理学、法学、工学、文学、理学、艺术学等学科门类；拥有应用经济学、理论经济学、管理科学与工程、工商管理学、统计学、法学、马克思主义理论共7个博士后流动站；应用经济学、理论经济学、管理科学与工程、工商管理学、统计学、法学、马克思主义理论共7个一级博士学位授权点，42个二级博士学位授权点，15个一级硕士学位授权点，74个二级硕士学位授权点，21个专业硕士学位授权点，52个本科专业。</w:t>
      </w:r>
    </w:p>
    <w:p w14:paraId="7B5B0C81">
      <w:pPr>
        <w:pStyle w:val="5"/>
        <w:widowControl/>
        <w:numPr>
          <w:ilvl w:val="0"/>
          <w:numId w:val="0"/>
        </w:numPr>
        <w:snapToGrid w:val="0"/>
        <w:spacing w:before="100" w:beforeAutospacing="1" w:after="100" w:afterAutospacing="1" w:line="360" w:lineRule="auto"/>
        <w:ind w:firstLine="420"/>
        <w:contextualSpacing/>
        <w:jc w:val="left"/>
        <w:rPr>
          <w:rFonts w:hint="eastAsia" w:asciiTheme="minorEastAsia" w:hAnsiTheme="minorEastAsia" w:eastAsiaTheme="minorEastAsia"/>
          <w:b w:val="0"/>
          <w:bCs w:val="0"/>
          <w:sz w:val="21"/>
          <w:szCs w:val="21"/>
          <w:lang w:val="en-US" w:eastAsia="zh-CN"/>
        </w:rPr>
      </w:pPr>
      <w:bookmarkStart w:id="0" w:name="_Hlk75270359"/>
      <w:r>
        <w:rPr>
          <w:rFonts w:hint="eastAsia" w:asciiTheme="minorEastAsia" w:hAnsiTheme="minorEastAsia" w:eastAsiaTheme="minorEastAsia"/>
          <w:b w:val="0"/>
          <w:bCs w:val="0"/>
          <w:sz w:val="21"/>
          <w:szCs w:val="21"/>
          <w:lang w:val="en-US" w:eastAsia="zh-CN"/>
        </w:rPr>
        <w:t>继续教育学院创办于1981年，承担了学校非学历教育培训、高等学历继续教育、高等教育自学考试等办学任务。40多年来，我校继续教育办学声誉卓著，多次荣获国家财政部、教育部、国家考委、江西省教育厅授予的先进荣誉称号。学院为社会经济发展输送各类毕业生13万余人、培训在职职工10多万人，他们中有的成为了所在单位的业务骨干，有的成了成功的创业者、企业家，有的在政府机关、事业单位或国有企业中担任了领导职务，为促进经济社会发展做出了重要贡献。</w:t>
      </w:r>
    </w:p>
    <w:bookmarkEnd w:id="0"/>
    <w:p w14:paraId="0D710A9E">
      <w:pPr>
        <w:pStyle w:val="5"/>
        <w:widowControl/>
        <w:numPr>
          <w:ilvl w:val="0"/>
          <w:numId w:val="0"/>
        </w:numPr>
        <w:snapToGrid w:val="0"/>
        <w:spacing w:before="100" w:beforeAutospacing="1" w:after="100" w:afterAutospacing="1" w:line="360" w:lineRule="auto"/>
        <w:ind w:firstLine="42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管理科学与工程是工程技术与管理技术相结合的复合型的工程领域，覆盖面和行业适用面较广。江西财经大学管理科学与工程学科为江西省“十五”、“十一五”、“十二五”重点学科和首批高水平学科，信息管理与信息系统本科专业为国家特色专业。管理科学与工程学科在“十二五”期间学科方向进一步优化，已形成了信息管理与信息系统、管理决策、物流与供应链管理、电子商务技术与方法等4个具有鲜明特色和发展潜力的学科方向。</w:t>
      </w:r>
    </w:p>
    <w:p w14:paraId="3B8C8B70">
      <w:pPr>
        <w:pStyle w:val="5"/>
        <w:widowControl/>
        <w:numPr>
          <w:ilvl w:val="0"/>
          <w:numId w:val="0"/>
        </w:numPr>
        <w:snapToGrid w:val="0"/>
        <w:spacing w:before="100" w:beforeAutospacing="1" w:after="100" w:afterAutospacing="1" w:line="360" w:lineRule="auto"/>
        <w:ind w:firstLine="42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2026年现招收管理科学与工程专业研修课程培训班学员，为社会各界提供优秀硕士研究生专业人才。</w:t>
      </w:r>
    </w:p>
    <w:p w14:paraId="051CDDBF">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val="0"/>
          <w:bCs w:val="0"/>
          <w:sz w:val="21"/>
          <w:szCs w:val="21"/>
          <w:lang w:val="en-US" w:eastAsia="zh-CN"/>
        </w:rPr>
      </w:pPr>
    </w:p>
    <w:p w14:paraId="41DA0488">
      <w:pPr>
        <w:pStyle w:val="5"/>
        <w:numPr>
          <w:ilvl w:val="0"/>
          <w:numId w:val="1"/>
        </w:numPr>
        <w:snapToGrid w:val="0"/>
        <w:spacing w:line="360" w:lineRule="auto"/>
        <w:contextualSpacing/>
        <w:rPr>
          <w:rFonts w:hint="default" w:cs="宋体"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4"/>
          <w:szCs w:val="24"/>
          <w:lang w:val="en-US" w:eastAsia="zh-CN"/>
        </w:rPr>
        <w:t>培养目标：</w:t>
      </w:r>
    </w:p>
    <w:p w14:paraId="6ADDCCAB">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cs="宋体" w:asciiTheme="minorEastAsia" w:hAnsiTheme="minorEastAsia" w:eastAsiaTheme="minorEastAsia"/>
          <w:b w:val="0"/>
          <w:bCs w:val="0"/>
          <w:sz w:val="21"/>
          <w:szCs w:val="21"/>
          <w:lang w:val="en-US" w:eastAsia="zh-CN"/>
        </w:rPr>
      </w:pPr>
      <w:r>
        <w:rPr>
          <w:rFonts w:hint="eastAsia" w:cs="宋体" w:asciiTheme="minorEastAsia" w:hAnsiTheme="minorEastAsia" w:eastAsiaTheme="minorEastAsia"/>
          <w:b w:val="0"/>
          <w:bCs w:val="0"/>
          <w:sz w:val="21"/>
          <w:szCs w:val="21"/>
          <w:lang w:val="en-US" w:eastAsia="zh-CN"/>
        </w:rPr>
        <w:t>本专业主要是培养掌握马克思主义基本原理和中国特色社会主义理论体系，具备良好的政治素质和职业道德，掌握系统的管理科学与工程理论、方法以及相关工程领域的专门知识，能独立担负管理科学与工程工作，具有较强的计划、组织、指挥、协调和决策能力，能够独立担负管理科学与工程工作的高层次、应用型管理科学与工程专门人才。</w:t>
      </w:r>
    </w:p>
    <w:p w14:paraId="24A282E5">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cs="宋体" w:asciiTheme="minorEastAsia" w:hAnsiTheme="minorEastAsia" w:eastAsiaTheme="minorEastAsia"/>
          <w:b w:val="0"/>
          <w:bCs w:val="0"/>
          <w:sz w:val="21"/>
          <w:szCs w:val="21"/>
          <w:lang w:val="en-US" w:eastAsia="zh-CN"/>
        </w:rPr>
      </w:pPr>
    </w:p>
    <w:p w14:paraId="6A5A6154">
      <w:pPr>
        <w:pStyle w:val="5"/>
        <w:numPr>
          <w:ilvl w:val="0"/>
          <w:numId w:val="1"/>
        </w:numPr>
        <w:snapToGrid w:val="0"/>
        <w:spacing w:line="360" w:lineRule="auto"/>
        <w:contextualSpacing/>
        <w:rPr>
          <w:rFonts w:ascii="Times New Roman" w:hAnsi="Times New Roman"/>
        </w:rPr>
      </w:pPr>
      <w:r>
        <w:rPr>
          <w:rFonts w:hint="eastAsia" w:asciiTheme="minorEastAsia" w:hAnsiTheme="minorEastAsia" w:eastAsiaTheme="minorEastAsia"/>
          <w:b/>
          <w:bCs/>
          <w:sz w:val="24"/>
          <w:szCs w:val="24"/>
          <w:lang w:val="en-US" w:eastAsia="zh-CN"/>
        </w:rPr>
        <w:t>培养优势：</w:t>
      </w:r>
    </w:p>
    <w:p w14:paraId="4D99F1EC">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36F64297">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7DE52C85">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学校拥有结构合理、素质优良、可持续发展的师资队伍，国内外330余名著名学者、专家和企业家受聘为学校客座教授；</w:t>
      </w:r>
    </w:p>
    <w:p w14:paraId="7DC22E5F">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【申硕机会多】</w:t>
      </w:r>
      <w:r>
        <w:rPr>
          <w:rFonts w:hint="eastAsia" w:asciiTheme="minorEastAsia" w:hAnsiTheme="minorEastAsia" w:eastAsiaTheme="minorEastAsia" w:cstheme="minorEastAsia"/>
          <w:b w:val="0"/>
          <w:bCs w:val="0"/>
          <w:sz w:val="21"/>
          <w:szCs w:val="21"/>
          <w:lang w:val="en-US" w:eastAsia="zh-CN"/>
        </w:rPr>
        <w:t>：完成课业安排，只要达到申硕条件者，可申请4年内每年参加同等学力申硕考试；</w:t>
      </w:r>
    </w:p>
    <w:p w14:paraId="6691FD94">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75F583C3">
      <w:pPr>
        <w:pStyle w:val="5"/>
        <w:numPr>
          <w:ilvl w:val="0"/>
          <w:numId w:val="0"/>
        </w:numPr>
        <w:snapToGrid w:val="0"/>
        <w:spacing w:line="360" w:lineRule="auto"/>
        <w:contextualSpacing/>
        <w:rPr>
          <w:rFonts w:hint="eastAsia" w:asciiTheme="minorEastAsia" w:hAnsiTheme="minorEastAsia" w:eastAsiaTheme="minorEastAsia" w:cstheme="minorEastAsia"/>
          <w:b/>
          <w:bCs/>
          <w:sz w:val="21"/>
          <w:szCs w:val="21"/>
          <w:lang w:val="en-US" w:eastAsia="zh-CN"/>
        </w:rPr>
      </w:pPr>
    </w:p>
    <w:p w14:paraId="750F3668">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课程设置：</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3A51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01B9AFC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管理科学与工程</w:t>
            </w:r>
            <w:r>
              <w:rPr>
                <w:rFonts w:hint="eastAsia" w:asciiTheme="minorEastAsia" w:hAnsiTheme="minorEastAsia" w:eastAsiaTheme="minorEastAsia" w:cstheme="minorEastAsia"/>
                <w:b/>
                <w:sz w:val="21"/>
                <w:szCs w:val="21"/>
              </w:rPr>
              <w:t>专业课程</w:t>
            </w:r>
          </w:p>
        </w:tc>
      </w:tr>
      <w:tr w14:paraId="26A3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3999311C">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学位课</w:t>
            </w:r>
          </w:p>
        </w:tc>
        <w:tc>
          <w:tcPr>
            <w:tcW w:w="3402" w:type="dxa"/>
          </w:tcPr>
          <w:p w14:paraId="4F6114C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中国特色社会主义理论与实践</w:t>
            </w:r>
          </w:p>
        </w:tc>
        <w:tc>
          <w:tcPr>
            <w:tcW w:w="3311" w:type="dxa"/>
          </w:tcPr>
          <w:p w14:paraId="42A2B75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公共英语</w:t>
            </w:r>
          </w:p>
        </w:tc>
      </w:tr>
      <w:tr w14:paraId="36C9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33C1496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913C2E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习近平法治思想概论</w:t>
            </w:r>
          </w:p>
        </w:tc>
        <w:tc>
          <w:tcPr>
            <w:tcW w:w="3311" w:type="dxa"/>
          </w:tcPr>
          <w:p w14:paraId="0DAF2F6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p>
        </w:tc>
      </w:tr>
      <w:tr w14:paraId="04B5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0CEE204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4150977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应用统计学</w:t>
            </w:r>
          </w:p>
        </w:tc>
        <w:tc>
          <w:tcPr>
            <w:tcW w:w="3311" w:type="dxa"/>
          </w:tcPr>
          <w:p w14:paraId="43BA12F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经济学</w:t>
            </w:r>
          </w:p>
        </w:tc>
      </w:tr>
      <w:tr w14:paraId="094C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08E835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4E4E1B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高级管理学</w:t>
            </w:r>
          </w:p>
        </w:tc>
        <w:tc>
          <w:tcPr>
            <w:tcW w:w="3311" w:type="dxa"/>
          </w:tcPr>
          <w:p w14:paraId="2A36DDC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企业战略管理</w:t>
            </w:r>
          </w:p>
        </w:tc>
      </w:tr>
      <w:tr w14:paraId="4982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0DF2BA2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4D238C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现代项目管理</w:t>
            </w:r>
          </w:p>
        </w:tc>
        <w:tc>
          <w:tcPr>
            <w:tcW w:w="3311" w:type="dxa"/>
          </w:tcPr>
          <w:p w14:paraId="5440230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工程经济学</w:t>
            </w:r>
          </w:p>
        </w:tc>
      </w:tr>
      <w:tr w14:paraId="46EA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7876F83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DEC18B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论文写作指导</w:t>
            </w:r>
          </w:p>
        </w:tc>
        <w:tc>
          <w:tcPr>
            <w:tcW w:w="3311" w:type="dxa"/>
          </w:tcPr>
          <w:p w14:paraId="1BDDECE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default" w:asciiTheme="minorEastAsia" w:hAnsiTheme="minorEastAsia" w:cstheme="minorEastAsia"/>
                <w:sz w:val="21"/>
                <w:szCs w:val="21"/>
                <w:lang w:val="en-US" w:eastAsia="zh-CN"/>
              </w:rPr>
              <w:t>工程项目管理</w:t>
            </w:r>
          </w:p>
        </w:tc>
      </w:tr>
      <w:tr w14:paraId="0F31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809" w:type="dxa"/>
            <w:vMerge w:val="restart"/>
            <w:vAlign w:val="center"/>
          </w:tcPr>
          <w:p w14:paraId="5FE165F5">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65AF776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现代项目融资与PPP</w:t>
            </w:r>
          </w:p>
        </w:tc>
        <w:tc>
          <w:tcPr>
            <w:tcW w:w="3311" w:type="dxa"/>
          </w:tcPr>
          <w:p w14:paraId="37FD52C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建设投资规划与控制</w:t>
            </w:r>
          </w:p>
        </w:tc>
      </w:tr>
      <w:tr w14:paraId="3D8B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vAlign w:val="center"/>
          </w:tcPr>
          <w:p w14:paraId="3E7EE822">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eastAsia" w:asciiTheme="minorEastAsia" w:hAnsiTheme="minorEastAsia" w:cstheme="minorEastAsia"/>
                <w:b/>
                <w:bCs/>
                <w:sz w:val="21"/>
                <w:szCs w:val="21"/>
                <w:lang w:val="en-US" w:eastAsia="zh-CN"/>
              </w:rPr>
            </w:pPr>
          </w:p>
        </w:tc>
        <w:tc>
          <w:tcPr>
            <w:tcW w:w="3402" w:type="dxa"/>
          </w:tcPr>
          <w:p w14:paraId="5583D7F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建设项目风险管理</w:t>
            </w:r>
          </w:p>
        </w:tc>
        <w:tc>
          <w:tcPr>
            <w:tcW w:w="3311" w:type="dxa"/>
          </w:tcPr>
          <w:p w14:paraId="5148B09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房地产企业战略管理</w:t>
            </w:r>
          </w:p>
        </w:tc>
      </w:tr>
    </w:tbl>
    <w:p w14:paraId="306071C8">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eastAsia" w:asciiTheme="minorEastAsia" w:hAnsiTheme="minorEastAsia" w:eastAsiaTheme="minorEastAsia" w:cstheme="minorEastAsia"/>
          <w:sz w:val="21"/>
          <w:szCs w:val="21"/>
        </w:rPr>
      </w:pPr>
    </w:p>
    <w:p w14:paraId="5254C908">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2277690C">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default" w:asciiTheme="minorEastAsia" w:hAnsiTheme="minorEastAsia" w:eastAsiaTheme="minorEastAsia" w:cstheme="minorEastAsia"/>
          <w:sz w:val="21"/>
          <w:szCs w:val="21"/>
          <w:lang w:val="en-US" w:eastAsia="zh-CN"/>
        </w:rPr>
      </w:pPr>
    </w:p>
    <w:p w14:paraId="45631E94">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default" w:asciiTheme="minorEastAsia" w:hAnsiTheme="minorEastAsia" w:eastAsiaTheme="minorEastAsia" w:cstheme="minorEastAsia"/>
          <w:sz w:val="21"/>
          <w:szCs w:val="21"/>
          <w:lang w:val="en-US" w:eastAsia="zh-CN"/>
        </w:rPr>
      </w:pPr>
    </w:p>
    <w:p w14:paraId="138A1685">
      <w:pPr>
        <w:pStyle w:val="5"/>
        <w:numPr>
          <w:ilvl w:val="0"/>
          <w:numId w:val="1"/>
        </w:numPr>
        <w:snapToGrid w:val="0"/>
        <w:spacing w:line="360" w:lineRule="auto"/>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报名条件：</w:t>
      </w:r>
    </w:p>
    <w:p w14:paraId="3F8AE125">
      <w:pPr>
        <w:pStyle w:val="5"/>
        <w:numPr>
          <w:ilvl w:val="0"/>
          <w:numId w:val="3"/>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大专以上学历者即可报名；</w:t>
      </w:r>
    </w:p>
    <w:p w14:paraId="12B3F325">
      <w:pPr>
        <w:pStyle w:val="5"/>
        <w:numPr>
          <w:ilvl w:val="0"/>
          <w:numId w:val="0"/>
        </w:numPr>
        <w:snapToGrid w:val="0"/>
        <w:spacing w:line="360" w:lineRule="auto"/>
        <w:ind w:firstLine="420" w:firstLineChars="200"/>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kern w:val="0"/>
          <w:sz w:val="21"/>
          <w:szCs w:val="21"/>
          <w:lang w:val="en-US" w:eastAsia="zh-CN" w:bidi="ar-SA"/>
        </w:rPr>
        <w:t>2、大学本科毕业并获得学士学位后工作3年以上</w:t>
      </w:r>
      <w:r>
        <w:rPr>
          <w:rFonts w:hint="eastAsia" w:asciiTheme="minorEastAsia" w:hAnsiTheme="minorEastAsia" w:cstheme="minorEastAsia"/>
          <w:kern w:val="0"/>
          <w:sz w:val="21"/>
          <w:szCs w:val="21"/>
          <w:lang w:val="en-US" w:eastAsia="zh-CN" w:bidi="ar-SA"/>
        </w:rPr>
        <w:t>，</w:t>
      </w:r>
      <w:r>
        <w:rPr>
          <w:rFonts w:hint="eastAsia" w:asciiTheme="minorEastAsia" w:hAnsiTheme="minorEastAsia" w:eastAsiaTheme="minorEastAsia" w:cstheme="minorEastAsia"/>
          <w:kern w:val="0"/>
          <w:sz w:val="21"/>
          <w:szCs w:val="21"/>
          <w:lang w:val="en-US" w:eastAsia="zh-CN" w:bidi="ar-SA"/>
        </w:rPr>
        <w:t>虽无学士学位但已获得硕士或博士学位者</w:t>
      </w:r>
      <w:r>
        <w:rPr>
          <w:rFonts w:hint="eastAsia" w:asciiTheme="minorEastAsia" w:hAnsiTheme="minorEastAsia" w:cstheme="minorEastAsia"/>
          <w:kern w:val="0"/>
          <w:sz w:val="21"/>
          <w:szCs w:val="21"/>
          <w:lang w:val="en-US" w:eastAsia="zh-CN" w:bidi="ar-SA"/>
        </w:rPr>
        <w:t>；</w:t>
      </w:r>
    </w:p>
    <w:p w14:paraId="4EF91A05">
      <w:pPr>
        <w:pStyle w:val="5"/>
        <w:numPr>
          <w:ilvl w:val="0"/>
          <w:numId w:val="0"/>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3、</w:t>
      </w:r>
      <w:r>
        <w:rPr>
          <w:rFonts w:hint="eastAsia" w:asciiTheme="minorEastAsia" w:hAnsiTheme="minorEastAsia" w:eastAsiaTheme="minorEastAsia" w:cstheme="minorEastAsia"/>
          <w:kern w:val="0"/>
          <w:sz w:val="21"/>
          <w:szCs w:val="21"/>
          <w:lang w:val="en-US" w:eastAsia="zh-CN" w:bidi="ar-SA"/>
        </w:rPr>
        <w:t>通过教育部留学服务中心认证的国（境）外学士、硕士或博士学位获得者</w:t>
      </w:r>
      <w:r>
        <w:rPr>
          <w:rFonts w:hint="eastAsia" w:asciiTheme="minorEastAsia" w:hAnsiTheme="minorEastAsia" w:cstheme="minorEastAsia"/>
          <w:kern w:val="0"/>
          <w:sz w:val="21"/>
          <w:szCs w:val="21"/>
          <w:lang w:val="en-US" w:eastAsia="zh-CN" w:bidi="ar-SA"/>
        </w:rPr>
        <w:t>。</w:t>
      </w:r>
    </w:p>
    <w:p w14:paraId="65AD9C7E">
      <w:pPr>
        <w:pStyle w:val="5"/>
        <w:numPr>
          <w:ilvl w:val="0"/>
          <w:numId w:val="0"/>
        </w:numPr>
        <w:snapToGrid w:val="0"/>
        <w:spacing w:line="360" w:lineRule="auto"/>
        <w:contextualSpacing/>
        <w:rPr>
          <w:rFonts w:hint="default" w:asciiTheme="minorEastAsia" w:hAnsiTheme="minorEastAsia" w:cstheme="minorEastAsia"/>
          <w:kern w:val="0"/>
          <w:sz w:val="21"/>
          <w:szCs w:val="21"/>
          <w:lang w:val="en-US" w:eastAsia="zh-CN" w:bidi="ar-SA"/>
        </w:rPr>
      </w:pPr>
    </w:p>
    <w:p w14:paraId="6F874E96">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报名材料：</w:t>
      </w:r>
    </w:p>
    <w:p w14:paraId="06E5B281">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1、本人持二代居民身份证原件及复印件；</w:t>
      </w:r>
    </w:p>
    <w:p w14:paraId="5FC8D6C9">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2、本人学历和学位证书、毕业证书原件及复印件；</w:t>
      </w:r>
    </w:p>
    <w:p w14:paraId="7229601D">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3、近期2张蓝底一寸照片2张蓝底二寸照片；</w:t>
      </w:r>
    </w:p>
    <w:p w14:paraId="001454AD">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4A9CDBED">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培养方式和学制：</w:t>
      </w:r>
    </w:p>
    <w:p w14:paraId="56FF6EB8">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教学方式：每月集中双休日采用线上/线下授课，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30C9A44E">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sz w:val="21"/>
          <w:szCs w:val="21"/>
          <w:lang w:val="en-US" w:eastAsia="zh-CN"/>
        </w:rPr>
        <w:t xml:space="preserve">学制：1年    </w:t>
      </w:r>
    </w:p>
    <w:p w14:paraId="430BABCC">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35F3ECEE">
      <w:pPr>
        <w:pStyle w:val="5"/>
        <w:numPr>
          <w:ilvl w:val="0"/>
          <w:numId w:val="1"/>
        </w:numPr>
        <w:snapToGrid w:val="0"/>
        <w:spacing w:line="360" w:lineRule="auto"/>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获取证书：</w:t>
      </w:r>
    </w:p>
    <w:p w14:paraId="25BCF7C3">
      <w:pPr>
        <w:pStyle w:val="5"/>
        <w:numPr>
          <w:ilvl w:val="0"/>
          <w:numId w:val="4"/>
        </w:numPr>
        <w:snapToGrid w:val="0"/>
        <w:spacing w:line="360" w:lineRule="auto"/>
        <w:ind w:firstLine="420" w:firstLineChars="200"/>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学员通过所报专业硕士研究生所有必修课程和选修课程考试，修满学分成绩合格，课程学习结束时发给江西财经大学硕士研究生课程班结业证书。</w:t>
      </w:r>
    </w:p>
    <w:p w14:paraId="25DD78E0">
      <w:pPr>
        <w:pStyle w:val="5"/>
        <w:numPr>
          <w:ilvl w:val="0"/>
          <w:numId w:val="0"/>
        </w:numPr>
        <w:snapToGrid w:val="0"/>
        <w:spacing w:line="360" w:lineRule="auto"/>
        <w:ind w:firstLine="420" w:firstLineChars="200"/>
        <w:contextualSpacing/>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2、完成所有课程学习并且考核合格这，满足同等学力申请硕士学位条件学员，可参加全国统一考试，成绩合格达标者可进入学位论文写作阶段，论文通过评审、答辩，并经由我校学位评定委员会批准，可授予江西财经大学管理科学与工程专业管理学硕士学位。</w:t>
      </w:r>
    </w:p>
    <w:p w14:paraId="72B72745">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462CCB70">
      <w:pPr>
        <w:pStyle w:val="5"/>
        <w:numPr>
          <w:ilvl w:val="0"/>
          <w:numId w:val="1"/>
        </w:numPr>
        <w:snapToGrid w:val="0"/>
        <w:spacing w:line="360" w:lineRule="auto"/>
        <w:contextualSpacing/>
        <w:rPr>
          <w:rFonts w:hint="eastAsia" w:ascii="宋体" w:hAnsi="宋体" w:eastAsia="宋体" w:cs="宋体"/>
          <w:sz w:val="24"/>
          <w:szCs w:val="24"/>
          <w:lang w:val="en-US" w:eastAsia="zh-CN"/>
        </w:rPr>
      </w:pPr>
      <w:r>
        <w:rPr>
          <w:rFonts w:hint="eastAsia" w:asciiTheme="minorEastAsia" w:hAnsiTheme="minorEastAsia" w:eastAsiaTheme="minorEastAsia"/>
          <w:b/>
          <w:bCs/>
          <w:sz w:val="24"/>
          <w:szCs w:val="24"/>
          <w:lang w:val="en-US" w:eastAsia="zh-CN"/>
        </w:rPr>
        <w:t>收费标准：</w:t>
      </w:r>
    </w:p>
    <w:p w14:paraId="659F164E">
      <w:pPr>
        <w:pStyle w:val="5"/>
        <w:numPr>
          <w:ilvl w:val="0"/>
          <w:numId w:val="0"/>
        </w:numPr>
        <w:snapToGrid w:val="0"/>
        <w:spacing w:line="360" w:lineRule="auto"/>
        <w:ind w:firstLine="420" w:firstLineChars="200"/>
        <w:contextualSpacing/>
        <w:rPr>
          <w:rFonts w:hint="eastAsia" w:ascii="宋体" w:hAnsi="宋体" w:eastAsia="宋体" w:cs="宋体"/>
          <w:sz w:val="24"/>
          <w:szCs w:val="24"/>
          <w:lang w:val="en-US" w:eastAsia="zh-CN"/>
        </w:rPr>
      </w:pPr>
      <w:r>
        <w:rPr>
          <w:rFonts w:hint="eastAsia" w:ascii="宋体" w:hAnsi="宋体" w:eastAsia="宋体" w:cs="宋体"/>
          <w:b w:val="0"/>
          <w:bCs/>
          <w:color w:val="auto"/>
          <w:sz w:val="21"/>
          <w:szCs w:val="21"/>
          <w:lang w:val="en-US" w:eastAsia="zh-CN"/>
        </w:rPr>
        <w:t>学费缴纳分两段制进行，即课程学习阶段和撰写学位论文和论文答辩阶段，课程学习培养阶段学费为</w:t>
      </w:r>
      <w:r>
        <w:rPr>
          <w:rFonts w:hint="eastAsia" w:cs="宋体"/>
          <w:b w:val="0"/>
          <w:bCs/>
          <w:color w:val="auto"/>
          <w:sz w:val="21"/>
          <w:szCs w:val="21"/>
          <w:lang w:val="en-US" w:eastAsia="zh-CN"/>
        </w:rPr>
        <w:t>1</w:t>
      </w:r>
      <w:r>
        <w:rPr>
          <w:rFonts w:hint="eastAsia" w:ascii="宋体" w:hAnsi="宋体" w:eastAsia="宋体" w:cs="宋体"/>
          <w:b w:val="0"/>
          <w:bCs/>
          <w:color w:val="auto"/>
          <w:sz w:val="21"/>
          <w:szCs w:val="21"/>
          <w:lang w:val="en-US" w:eastAsia="zh-CN"/>
        </w:rPr>
        <w:t>5000元，</w:t>
      </w:r>
      <w:r>
        <w:rPr>
          <w:rFonts w:hint="eastAsia" w:cs="宋体"/>
          <w:b w:val="0"/>
          <w:bCs/>
          <w:color w:val="auto"/>
          <w:sz w:val="21"/>
          <w:szCs w:val="21"/>
          <w:lang w:val="en-US" w:eastAsia="zh-CN"/>
        </w:rPr>
        <w:t>论文答辩</w:t>
      </w:r>
      <w:r>
        <w:rPr>
          <w:rFonts w:hint="eastAsia" w:ascii="宋体" w:hAnsi="宋体" w:eastAsia="宋体" w:cs="宋体"/>
          <w:b w:val="0"/>
          <w:bCs/>
          <w:color w:val="auto"/>
          <w:sz w:val="21"/>
          <w:szCs w:val="21"/>
          <w:lang w:val="en-US" w:eastAsia="zh-CN"/>
        </w:rPr>
        <w:t>为</w:t>
      </w:r>
      <w:r>
        <w:rPr>
          <w:rFonts w:hint="eastAsia" w:cs="宋体"/>
          <w:b w:val="0"/>
          <w:bCs/>
          <w:color w:val="auto"/>
          <w:sz w:val="21"/>
          <w:szCs w:val="21"/>
          <w:lang w:val="en-US" w:eastAsia="zh-CN"/>
        </w:rPr>
        <w:t>10000</w:t>
      </w:r>
      <w:r>
        <w:rPr>
          <w:rFonts w:hint="eastAsia" w:ascii="宋体" w:hAnsi="宋体" w:eastAsia="宋体" w:cs="宋体"/>
          <w:b w:val="0"/>
          <w:bCs/>
          <w:color w:val="auto"/>
          <w:sz w:val="21"/>
          <w:szCs w:val="21"/>
          <w:lang w:val="en-US" w:eastAsia="zh-CN"/>
        </w:rPr>
        <w:t xml:space="preserve">元，收费要求以学校实际要求为准。  </w:t>
      </w:r>
      <w:r>
        <w:rPr>
          <w:rFonts w:hint="eastAsia" w:ascii="宋体" w:hAnsi="宋体" w:eastAsia="宋体" w:cs="宋体"/>
          <w:sz w:val="24"/>
          <w:szCs w:val="24"/>
          <w:lang w:val="en-US" w:eastAsia="zh-CN"/>
        </w:rPr>
        <w:t xml:space="preserve"> </w:t>
      </w:r>
    </w:p>
    <w:p w14:paraId="039F2202">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34B36EFB">
      <w:pPr>
        <w:pStyle w:val="5"/>
        <w:snapToGrid w:val="0"/>
        <w:spacing w:line="360" w:lineRule="auto"/>
        <w:contextualSpacing/>
        <w:rPr>
          <w:rFonts w:asciiTheme="minorEastAsia" w:hAnsiTheme="minorEastAsia"/>
          <w:szCs w:val="21"/>
        </w:rPr>
      </w:pPr>
      <w:bookmarkStart w:id="1" w:name="_GoBack"/>
      <w:bookmarkEnd w:id="1"/>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02445">
    <w:pPr>
      <w:pStyle w:val="4"/>
      <w:tabs>
        <w:tab w:val="center" w:pos="4213"/>
        <w:tab w:val="left" w:pos="6891"/>
      </w:tabs>
      <w:jc w:val="lef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 name="WordPictureWatermark11321706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13217064"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49ACE">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66690" cy="5266690"/>
          <wp:effectExtent l="0" t="0" r="10160" b="10160"/>
          <wp:wrapNone/>
          <wp:docPr id="3" name="WordPictureWatermark113217063"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13217063"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F8432">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66690" cy="5266690"/>
          <wp:effectExtent l="0" t="0" r="10160" b="10160"/>
          <wp:wrapNone/>
          <wp:docPr id="1" name="WordPictureWatermark11321706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3217062"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C000E8B9"/>
    <w:multiLevelType w:val="singleLevel"/>
    <w:tmpl w:val="C000E8B9"/>
    <w:lvl w:ilvl="0" w:tentative="0">
      <w:start w:val="1"/>
      <w:numFmt w:val="decimal"/>
      <w:suff w:val="nothing"/>
      <w:lvlText w:val="%1、"/>
      <w:lvlJc w:val="left"/>
      <w:rPr>
        <w:rFonts w:hint="default"/>
        <w:b/>
        <w:bCs/>
      </w:rPr>
    </w:lvl>
  </w:abstractNum>
  <w:abstractNum w:abstractNumId="2">
    <w:nsid w:val="FD979A40"/>
    <w:multiLevelType w:val="singleLevel"/>
    <w:tmpl w:val="FD979A40"/>
    <w:lvl w:ilvl="0" w:tentative="0">
      <w:start w:val="1"/>
      <w:numFmt w:val="chineseCounting"/>
      <w:suff w:val="nothing"/>
      <w:lvlText w:val="%1、"/>
      <w:lvlJc w:val="left"/>
      <w:rPr>
        <w:rFonts w:hint="eastAsia"/>
        <w:b/>
        <w:bCs/>
      </w:rPr>
    </w:lvl>
  </w:abstractNum>
  <w:abstractNum w:abstractNumId="3">
    <w:nsid w:val="62366322"/>
    <w:multiLevelType w:val="singleLevel"/>
    <w:tmpl w:val="6236632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00B032C0"/>
    <w:rsid w:val="00082F90"/>
    <w:rsid w:val="0008532F"/>
    <w:rsid w:val="000A69B5"/>
    <w:rsid w:val="000E73B0"/>
    <w:rsid w:val="001514BE"/>
    <w:rsid w:val="00160303"/>
    <w:rsid w:val="001904E4"/>
    <w:rsid w:val="00223CE0"/>
    <w:rsid w:val="002519DA"/>
    <w:rsid w:val="00296044"/>
    <w:rsid w:val="002B1210"/>
    <w:rsid w:val="002B1B2B"/>
    <w:rsid w:val="003F6347"/>
    <w:rsid w:val="004B538B"/>
    <w:rsid w:val="004E753A"/>
    <w:rsid w:val="004F5BC4"/>
    <w:rsid w:val="00556C91"/>
    <w:rsid w:val="005B2E48"/>
    <w:rsid w:val="00715789"/>
    <w:rsid w:val="00717213"/>
    <w:rsid w:val="00764FAE"/>
    <w:rsid w:val="007B0553"/>
    <w:rsid w:val="007D1D49"/>
    <w:rsid w:val="00800692"/>
    <w:rsid w:val="00810410"/>
    <w:rsid w:val="009D1993"/>
    <w:rsid w:val="00A16BE0"/>
    <w:rsid w:val="00AB0641"/>
    <w:rsid w:val="00AC5EE8"/>
    <w:rsid w:val="00B032C0"/>
    <w:rsid w:val="00B35C22"/>
    <w:rsid w:val="00B552D8"/>
    <w:rsid w:val="00BF6C72"/>
    <w:rsid w:val="00C5768A"/>
    <w:rsid w:val="00CC3E5F"/>
    <w:rsid w:val="00D00E82"/>
    <w:rsid w:val="00D61FBE"/>
    <w:rsid w:val="00D95A35"/>
    <w:rsid w:val="00DA56A4"/>
    <w:rsid w:val="00E1601C"/>
    <w:rsid w:val="00E35455"/>
    <w:rsid w:val="00EB2B73"/>
    <w:rsid w:val="00EB77DD"/>
    <w:rsid w:val="00EC57B5"/>
    <w:rsid w:val="00F03EC2"/>
    <w:rsid w:val="00F53410"/>
    <w:rsid w:val="00FA4E16"/>
    <w:rsid w:val="00FE08FD"/>
    <w:rsid w:val="02DA7AD5"/>
    <w:rsid w:val="07A20778"/>
    <w:rsid w:val="08E7643E"/>
    <w:rsid w:val="0AB903B7"/>
    <w:rsid w:val="0D1B0F3C"/>
    <w:rsid w:val="1236663D"/>
    <w:rsid w:val="15F72CBA"/>
    <w:rsid w:val="1C321559"/>
    <w:rsid w:val="205138FC"/>
    <w:rsid w:val="23165E81"/>
    <w:rsid w:val="25EB582C"/>
    <w:rsid w:val="262E332F"/>
    <w:rsid w:val="3195586F"/>
    <w:rsid w:val="33114748"/>
    <w:rsid w:val="3C9B62A5"/>
    <w:rsid w:val="41DE74BF"/>
    <w:rsid w:val="44805F0A"/>
    <w:rsid w:val="483672E3"/>
    <w:rsid w:val="49766A5B"/>
    <w:rsid w:val="49B24E9D"/>
    <w:rsid w:val="4E037BD6"/>
    <w:rsid w:val="4F183513"/>
    <w:rsid w:val="4F5817CA"/>
    <w:rsid w:val="502D0123"/>
    <w:rsid w:val="50D17D3D"/>
    <w:rsid w:val="576A35BB"/>
    <w:rsid w:val="5E811B56"/>
    <w:rsid w:val="5EAF647B"/>
    <w:rsid w:val="60EA0B88"/>
    <w:rsid w:val="613967DA"/>
    <w:rsid w:val="6DEC3CE4"/>
    <w:rsid w:val="74A92FB3"/>
    <w:rsid w:val="77F2537D"/>
    <w:rsid w:val="788B1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semiHidden/>
    <w:unhideWhenUsed/>
    <w:qFormat/>
    <w:uiPriority w:val="99"/>
    <w:rPr>
      <w:color w:val="0000FF"/>
      <w:u w:val="single"/>
    </w:rPr>
  </w:style>
  <w:style w:type="character" w:customStyle="1" w:styleId="10">
    <w:name w:val="批注框文本 Char"/>
    <w:basedOn w:val="8"/>
    <w:link w:val="2"/>
    <w:autoRedefine/>
    <w:semiHidden/>
    <w:qFormat/>
    <w:uiPriority w:val="99"/>
    <w:rPr>
      <w:sz w:val="18"/>
      <w:szCs w:val="18"/>
    </w:rPr>
  </w:style>
  <w:style w:type="character" w:customStyle="1" w:styleId="11">
    <w:name w:val="页眉 Char"/>
    <w:basedOn w:val="8"/>
    <w:link w:val="4"/>
    <w:autoRedefine/>
    <w:semiHidden/>
    <w:qFormat/>
    <w:uiPriority w:val="99"/>
    <w:rPr>
      <w:sz w:val="18"/>
      <w:szCs w:val="18"/>
    </w:rPr>
  </w:style>
  <w:style w:type="character" w:customStyle="1" w:styleId="12">
    <w:name w:val="页脚 Char"/>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1843</Words>
  <Characters>1877</Characters>
  <Lines>14</Lines>
  <Paragraphs>3</Paragraphs>
  <TotalTime>5</TotalTime>
  <ScaleCrop>false</ScaleCrop>
  <LinksUpToDate>false</LinksUpToDate>
  <CharactersWithSpaces>1894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2021-03-07T09:19:00Z</dcterms:created>
  <dc:creator>微软用户</dc:creator>
  <cp:lastModifiedBy>Administrator</cp:lastModifiedBy>
  <dcterms:modified xsi:type="dcterms:W3CDTF">2026-03-05T08:18:02Z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C130FE401EBF4B80A18E111829065A18_13</vt:lpwstr>
  </property>
  <property fmtid="{D5CDD505-2E9C-101B-9397-08002B2CF9AE}" pid="4" name="KSOTemplateDocerSaveRecord">
    <vt:lpwstr>eyJoZGlkIjoiMjJkYmYyOGQwNjU2YTFjYjBlYWQzZDdlZjc2Nzk1ZWYifQ==</vt:lpwstr>
  </property>
</Properties>
</file>