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C7A11">
      <w:pPr>
        <w:pStyle w:val="5"/>
        <w:snapToGrid w:val="0"/>
        <w:spacing w:line="360" w:lineRule="auto"/>
        <w:ind w:left="3150" w:hanging="3150" w:hangingChars="1500"/>
        <w:contextualSpacing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drawing>
          <wp:inline distT="0" distB="0" distL="0" distR="0">
            <wp:extent cx="5274310" cy="1005205"/>
            <wp:effectExtent l="19050" t="0" r="2540" b="0"/>
            <wp:docPr id="2" name="图片 1" descr="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111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0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981D2">
      <w:pPr>
        <w:pStyle w:val="5"/>
        <w:snapToGrid w:val="0"/>
        <w:spacing w:line="360" w:lineRule="auto"/>
        <w:ind w:left="2740" w:leftChars="100" w:hanging="2530" w:hangingChars="700"/>
        <w:contextualSpacing/>
        <w:jc w:val="center"/>
        <w:rPr>
          <w:rFonts w:asciiTheme="majorEastAsia" w:hAnsiTheme="majorEastAsia" w:eastAsiaTheme="majorEastAsia"/>
          <w:b/>
          <w:sz w:val="36"/>
          <w:szCs w:val="36"/>
        </w:rPr>
      </w:pPr>
    </w:p>
    <w:p w14:paraId="208B2870">
      <w:pPr>
        <w:pStyle w:val="5"/>
        <w:snapToGrid w:val="0"/>
        <w:spacing w:line="360" w:lineRule="auto"/>
        <w:ind w:left="2740" w:leftChars="100" w:hanging="2530" w:hangingChars="700"/>
        <w:contextualSpacing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asciiTheme="majorEastAsia" w:hAnsiTheme="majorEastAsia" w:eastAsiaTheme="majorEastAsia"/>
          <w:b/>
          <w:sz w:val="36"/>
          <w:szCs w:val="36"/>
        </w:rPr>
        <w:t>江西财经大学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会计学</w:t>
      </w:r>
      <w:r>
        <w:rPr>
          <w:rFonts w:asciiTheme="majorEastAsia" w:hAnsiTheme="majorEastAsia" w:eastAsiaTheme="majorEastAsia"/>
          <w:b/>
          <w:sz w:val="36"/>
          <w:szCs w:val="36"/>
        </w:rPr>
        <w:t>专业高级课程研修班</w:t>
      </w:r>
    </w:p>
    <w:p w14:paraId="57D39D64">
      <w:pPr>
        <w:pStyle w:val="5"/>
        <w:snapToGrid w:val="0"/>
        <w:spacing w:line="360" w:lineRule="auto"/>
        <w:ind w:left="2740" w:leftChars="100" w:hanging="2530" w:hangingChars="700"/>
        <w:contextualSpacing/>
        <w:jc w:val="center"/>
        <w:rPr>
          <w:rFonts w:asciiTheme="majorEastAsia" w:hAnsiTheme="majorEastAsia" w:eastAsiaTheme="majorEastAsia"/>
          <w:b/>
          <w:sz w:val="30"/>
          <w:szCs w:val="30"/>
        </w:rPr>
      </w:pPr>
      <w:r>
        <w:rPr>
          <w:rFonts w:asciiTheme="majorEastAsia" w:hAnsiTheme="majorEastAsia" w:eastAsiaTheme="majorEastAsia"/>
          <w:b/>
          <w:sz w:val="36"/>
          <w:szCs w:val="36"/>
        </w:rPr>
        <w:t>招生简章</w:t>
      </w:r>
    </w:p>
    <w:p w14:paraId="75CD3A12">
      <w:pPr>
        <w:pStyle w:val="5"/>
        <w:snapToGrid w:val="0"/>
        <w:spacing w:line="360" w:lineRule="auto"/>
        <w:contextualSpacing/>
        <w:jc w:val="center"/>
        <w:rPr>
          <w:rFonts w:asciiTheme="minorEastAsia" w:hAnsiTheme="minorEastAsia" w:eastAsiaTheme="minorEastAsia"/>
          <w:color w:val="FF0000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FF0000"/>
          <w:sz w:val="21"/>
          <w:szCs w:val="21"/>
        </w:rPr>
        <w:t>全国招生，设</w:t>
      </w:r>
      <w:r>
        <w:rPr>
          <w:rFonts w:asciiTheme="minorEastAsia" w:hAnsiTheme="minorEastAsia" w:eastAsiaTheme="minorEastAsia"/>
          <w:color w:val="FF0000"/>
          <w:sz w:val="21"/>
          <w:szCs w:val="21"/>
        </w:rPr>
        <w:t>网络教学</w:t>
      </w:r>
    </w:p>
    <w:p w14:paraId="225E9A5D">
      <w:pPr>
        <w:pStyle w:val="5"/>
        <w:snapToGrid w:val="0"/>
        <w:spacing w:line="360" w:lineRule="auto"/>
        <w:contextualSpacing/>
        <w:rPr>
          <w:rFonts w:hint="default" w:asciiTheme="minorEastAsia" w:hAnsiTheme="minorEastAsia" w:eastAsiaTheme="minorEastAsia"/>
          <w:sz w:val="21"/>
          <w:szCs w:val="21"/>
          <w:lang w:val="en-US" w:eastAsia="zh-CN"/>
        </w:rPr>
      </w:pPr>
    </w:p>
    <w:p w14:paraId="532C47E8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院校简介：</w:t>
      </w:r>
    </w:p>
    <w:p w14:paraId="67463B76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江西财经大学是一所财政部、教育部、江西省人民政府共建，以经济、管理类学科为主，法、工、文、理、艺术、教育等学科协调发展的高等财经学府。江西财经大学研究生教育肇始于1985年，1998年获批博士学位授予权，2004年获批博士后科研流动站。经过三十多年的发展，已经形成了一个从硕士到博士后、从学术学位到专业学位、从全日制到在职等多层次的研究生教育体系。</w:t>
      </w:r>
    </w:p>
    <w:p w14:paraId="43DFD623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学校现有经济学、管理学、法学、工学、文学、理学、艺术等学科门类；拥有应用经济学、理论经济学、管理科学与工程、工商管理、统计学、法学、马克思主义理论共7个博士后流动站；应用经济学、理论经济学、管理科学与工程、工商管理、统计学、法学、马克思主义理论共7个一级博士学位授权点，39个二级博士学位授权点，13个一级硕士学位授权点，70个二级硕士学位授权点，18个专业硕士学位授权点。</w:t>
      </w:r>
    </w:p>
    <w:p w14:paraId="6C469734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 xml:space="preserve">    </w:t>
      </w:r>
      <w:r>
        <w:rPr>
          <w:rFonts w:hint="eastAsia" w:cs="宋体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会计学院的前身为江西财经学院财务会计系，首任系主任为我国著名会计学家裘宗舜教授。1998年在原财务会计系和理财系的基础上组建而成会计学院，目前已成为我校最大的教学学院。会计学、财务管理专业被评为国家一流专业，CPA专业方向 获得中国注册会计师协会教学质量评估A类（第三名）院校，会计学（合注册会计师专业方向）、财务管理为江西省品牌专业。</w:t>
      </w: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现招收会计学专业研修课程培训班学员，为社会各界提供优秀硕士研究生专业人才。</w:t>
      </w:r>
    </w:p>
    <w:p w14:paraId="452F2D49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</w:pPr>
    </w:p>
    <w:p w14:paraId="2ED1FA76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培养目标：</w:t>
      </w:r>
    </w:p>
    <w:p w14:paraId="57A00D73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rPr>
          <w:rFonts w:hint="default" w:cs="宋体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cs="宋体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本专业要求学员掌握会计学基础理论和系统化专业技能，</w:t>
      </w:r>
      <w:r>
        <w:rPr>
          <w:rFonts w:hint="default" w:cs="宋体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培养具有坚定的理想信念、正确的价值观，良好职业操守、进取精神和创新意识，系统掌握现代会计学基本理论及相关领域的知识和技能，具有国际视野、战略意识和较强发现问题、分析问题与创造性解决问题能力的高层次、高素质、应用型会计专门人才</w:t>
      </w:r>
      <w:r>
        <w:rPr>
          <w:rFonts w:hint="eastAsia" w:cs="宋体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。</w:t>
      </w:r>
    </w:p>
    <w:p w14:paraId="2E8B5788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default" w:cs="宋体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</w:p>
    <w:p w14:paraId="19F79EF7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ascii="Times New Roman" w:hAnsi="Times New Roma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培养优势：</w:t>
      </w:r>
    </w:p>
    <w:p w14:paraId="1AFAA2F4">
      <w:pPr>
        <w:pStyle w:val="5"/>
        <w:numPr>
          <w:ilvl w:val="0"/>
          <w:numId w:val="2"/>
        </w:numPr>
        <w:snapToGrid w:val="0"/>
        <w:spacing w:line="360" w:lineRule="auto"/>
        <w:ind w:left="-62" w:leftChars="0" w:firstLine="482" w:firstLineChars="0"/>
        <w:contextualSpacing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免试入学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大专以上即可报名，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先学习再考试，有足够充分的准备和学习课程的时间；</w:t>
      </w:r>
    </w:p>
    <w:p w14:paraId="74402336">
      <w:pPr>
        <w:pStyle w:val="5"/>
        <w:numPr>
          <w:ilvl w:val="0"/>
          <w:numId w:val="2"/>
        </w:numPr>
        <w:snapToGrid w:val="0"/>
        <w:spacing w:line="360" w:lineRule="auto"/>
        <w:ind w:left="-62" w:leftChars="0" w:firstLine="482" w:firstLineChars="0"/>
        <w:contextualSpacing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学习方式灵活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授课方式采用线上线下灵活教学方式，社会在职人员可以边学习边工作，灵活学习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；</w:t>
      </w:r>
    </w:p>
    <w:p w14:paraId="555126F1">
      <w:pPr>
        <w:pStyle w:val="5"/>
        <w:numPr>
          <w:ilvl w:val="0"/>
          <w:numId w:val="2"/>
        </w:numPr>
        <w:snapToGrid w:val="0"/>
        <w:spacing w:line="360" w:lineRule="auto"/>
        <w:ind w:left="-62" w:leftChars="0" w:firstLine="482" w:firstLineChars="0"/>
        <w:contextualSpacing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师资队伍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学校拥有结构合理、素质优良、可持续发展的师资队伍，国内外330余名著名学者、专家和企业家受聘为学校客座教授；</w:t>
      </w:r>
    </w:p>
    <w:p w14:paraId="41562E6F">
      <w:pPr>
        <w:pStyle w:val="5"/>
        <w:numPr>
          <w:ilvl w:val="0"/>
          <w:numId w:val="2"/>
        </w:numPr>
        <w:snapToGrid w:val="0"/>
        <w:spacing w:line="360" w:lineRule="auto"/>
        <w:ind w:left="-62" w:leftChars="0" w:firstLine="482" w:firstLineChars="0"/>
        <w:contextualSpacing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【申硕机会多】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：完成课业安排，只要达到申硕条件者，可申请4年内每年参加同等学力申硕考试；</w:t>
      </w:r>
    </w:p>
    <w:p w14:paraId="22CD7CF4">
      <w:pPr>
        <w:pStyle w:val="5"/>
        <w:numPr>
          <w:ilvl w:val="0"/>
          <w:numId w:val="2"/>
        </w:numPr>
        <w:snapToGrid w:val="0"/>
        <w:spacing w:line="360" w:lineRule="auto"/>
        <w:ind w:left="-62" w:leftChars="0" w:firstLine="482" w:firstLineChars="0"/>
        <w:contextualSpacing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结交人脉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可享受与在校生同等的电子数据资源，获得校友人脉资源</w:t>
      </w:r>
      <w:r>
        <w:rPr>
          <w:rFonts w:hint="eastAsia" w:asciiTheme="minorEastAsia" w:hAnsi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，结交高端人脉。</w:t>
      </w:r>
    </w:p>
    <w:p w14:paraId="7F21A9DA">
      <w:pPr>
        <w:pStyle w:val="5"/>
        <w:numPr>
          <w:ilvl w:val="0"/>
          <w:numId w:val="0"/>
        </w:numPr>
        <w:snapToGrid w:val="0"/>
        <w:spacing w:line="360" w:lineRule="auto"/>
        <w:ind w:left="420" w:leftChars="0"/>
        <w:contextualSpacing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</w:p>
    <w:p w14:paraId="2AD5FFAA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课程设置：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402"/>
        <w:gridCol w:w="3311"/>
      </w:tblGrid>
      <w:tr w14:paraId="6BD6C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3"/>
          </w:tcPr>
          <w:p w14:paraId="436D94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lang w:val="en-US" w:eastAsia="zh-CN"/>
              </w:rPr>
              <w:t>会计学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专业课程</w:t>
            </w:r>
          </w:p>
        </w:tc>
      </w:tr>
      <w:tr w14:paraId="384AA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38D16D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ind w:firstLine="422" w:firstLineChars="200"/>
              <w:contextualSpacing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公共课</w:t>
            </w:r>
          </w:p>
        </w:tc>
        <w:tc>
          <w:tcPr>
            <w:tcW w:w="3402" w:type="dxa"/>
          </w:tcPr>
          <w:p w14:paraId="76D9B7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中国特色社会主义理论与实践</w:t>
            </w:r>
          </w:p>
        </w:tc>
        <w:tc>
          <w:tcPr>
            <w:tcW w:w="3311" w:type="dxa"/>
          </w:tcPr>
          <w:p w14:paraId="30867D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英语</w:t>
            </w:r>
          </w:p>
        </w:tc>
      </w:tr>
      <w:tr w14:paraId="74368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6E7927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375F0D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自然辩证法</w:t>
            </w:r>
          </w:p>
        </w:tc>
        <w:tc>
          <w:tcPr>
            <w:tcW w:w="3311" w:type="dxa"/>
          </w:tcPr>
          <w:p w14:paraId="317FBE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0555A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6297CC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必修课</w:t>
            </w:r>
          </w:p>
        </w:tc>
        <w:tc>
          <w:tcPr>
            <w:tcW w:w="3402" w:type="dxa"/>
          </w:tcPr>
          <w:p w14:paraId="3925BC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财务会计理论与实务</w:t>
            </w:r>
          </w:p>
        </w:tc>
        <w:tc>
          <w:tcPr>
            <w:tcW w:w="3311" w:type="dxa"/>
          </w:tcPr>
          <w:p w14:paraId="7BE8D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财务管理</w:t>
            </w:r>
          </w:p>
        </w:tc>
      </w:tr>
      <w:tr w14:paraId="728CB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604966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3B2937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管理学原理</w:t>
            </w:r>
          </w:p>
        </w:tc>
        <w:tc>
          <w:tcPr>
            <w:tcW w:w="3311" w:type="dxa"/>
          </w:tcPr>
          <w:p w14:paraId="21A79B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市场营销</w:t>
            </w:r>
          </w:p>
        </w:tc>
      </w:tr>
      <w:tr w14:paraId="41387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7C0B04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04172D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管理会计理论与实务</w:t>
            </w:r>
          </w:p>
        </w:tc>
        <w:tc>
          <w:tcPr>
            <w:tcW w:w="3311" w:type="dxa"/>
          </w:tcPr>
          <w:p w14:paraId="455B74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审计理论与实务</w:t>
            </w:r>
          </w:p>
        </w:tc>
      </w:tr>
      <w:tr w14:paraId="477A4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155347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选修课</w:t>
            </w:r>
          </w:p>
        </w:tc>
        <w:tc>
          <w:tcPr>
            <w:tcW w:w="3402" w:type="dxa"/>
          </w:tcPr>
          <w:p w14:paraId="510544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企业战略管理</w:t>
            </w:r>
          </w:p>
        </w:tc>
        <w:tc>
          <w:tcPr>
            <w:tcW w:w="3311" w:type="dxa"/>
          </w:tcPr>
          <w:p w14:paraId="7F0E41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管理经济学</w:t>
            </w:r>
          </w:p>
        </w:tc>
      </w:tr>
      <w:tr w14:paraId="12264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3B9087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0F61BD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上市公司会计问题研究专题</w:t>
            </w:r>
          </w:p>
        </w:tc>
        <w:tc>
          <w:tcPr>
            <w:tcW w:w="3311" w:type="dxa"/>
          </w:tcPr>
          <w:p w14:paraId="69C60C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价值管理理论与实务</w:t>
            </w:r>
          </w:p>
        </w:tc>
      </w:tr>
      <w:tr w14:paraId="52FE6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370CA2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470C42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财务报表分析专题</w:t>
            </w:r>
          </w:p>
        </w:tc>
        <w:tc>
          <w:tcPr>
            <w:tcW w:w="3311" w:type="dxa"/>
          </w:tcPr>
          <w:p w14:paraId="4E4B38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文献检索与阅读</w:t>
            </w:r>
          </w:p>
        </w:tc>
      </w:tr>
    </w:tbl>
    <w:p w14:paraId="0DCC6B41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</w:pPr>
    </w:p>
    <w:p w14:paraId="0F9DC8F2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contextualSpacing/>
        <w:jc w:val="center"/>
        <w:textAlignment w:val="auto"/>
        <w:rPr>
          <w:rFonts w:hint="eastAsia" w:ascii="仿宋" w:hAnsi="仿宋" w:cs="仿宋"/>
          <w:b/>
          <w:bCs/>
          <w:color w:val="000000"/>
          <w:spacing w:val="1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注：部分课程教学参照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实际</w:t>
      </w:r>
    </w:p>
    <w:p w14:paraId="27E650A2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</w:p>
    <w:p w14:paraId="741B5A07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报名条件：</w:t>
      </w:r>
    </w:p>
    <w:p w14:paraId="64A96F61">
      <w:pPr>
        <w:pStyle w:val="5"/>
        <w:numPr>
          <w:ilvl w:val="0"/>
          <w:numId w:val="0"/>
        </w:numPr>
        <w:snapToGrid w:val="0"/>
        <w:spacing w:line="360" w:lineRule="auto"/>
        <w:ind w:firstLine="420" w:firstLineChars="200"/>
        <w:contextualSpacing/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1、大专以上学历者即可报名；</w:t>
      </w:r>
    </w:p>
    <w:p w14:paraId="3F4933B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2、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  <w:t>大学本科毕业并获得学士学位后工作3年以上</w:t>
      </w: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，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  <w:t>虽无学士学位但已获得硕士或博士学位者</w:t>
      </w: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；</w:t>
      </w:r>
    </w:p>
    <w:p w14:paraId="0A517AD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3、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  <w:t>通过教育部留学服务中心认证的国（境）外学士、硕士或博士学位获得者</w:t>
      </w: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。</w:t>
      </w:r>
    </w:p>
    <w:p w14:paraId="5FD7F08F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报名材料：</w:t>
      </w:r>
    </w:p>
    <w:p w14:paraId="4259B293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1、本人持二代居民身份证原件及复印件；</w:t>
      </w:r>
    </w:p>
    <w:p w14:paraId="68D39EBE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rPr>
          <w:rFonts w:hint="default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2、本人学历和学位证书、毕业证书原件及复印件；</w:t>
      </w:r>
    </w:p>
    <w:p w14:paraId="18FD9B06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3、近期2张蓝底一寸照片2张蓝底二寸照片；</w:t>
      </w:r>
    </w:p>
    <w:p w14:paraId="2FF34745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</w:p>
    <w:p w14:paraId="23F180F4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培养方式和学制：</w:t>
      </w:r>
    </w:p>
    <w:p w14:paraId="26BA03BC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81"/>
        <w:contextualSpacing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教学方式：每月集中双休日采用线上/线下授课，</w:t>
      </w:r>
      <w:r>
        <w:rPr>
          <w:rFonts w:hint="eastAsia" w:ascii="仿宋" w:hAnsi="仿宋" w:cs="仿宋"/>
          <w:b w:val="0"/>
          <w:bCs w:val="0"/>
          <w:color w:val="000000"/>
          <w:spacing w:val="1"/>
          <w:sz w:val="21"/>
          <w:szCs w:val="21"/>
          <w:lang w:val="en-US" w:eastAsia="zh-CN"/>
        </w:rPr>
        <w:t>（授课采取线上为主的方式教学）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；</w:t>
      </w:r>
    </w:p>
    <w:p w14:paraId="607413E1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81"/>
        <w:contextualSpacing/>
        <w:jc w:val="left"/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学制：1年    </w:t>
      </w:r>
    </w:p>
    <w:p w14:paraId="57BD2F60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</w:p>
    <w:p w14:paraId="44E0E818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获取证书：</w:t>
      </w:r>
    </w:p>
    <w:p w14:paraId="7C50439F">
      <w:pPr>
        <w:pStyle w:val="5"/>
        <w:numPr>
          <w:ilvl w:val="0"/>
          <w:numId w:val="3"/>
        </w:numPr>
        <w:snapToGrid w:val="0"/>
        <w:spacing w:line="360" w:lineRule="auto"/>
        <w:ind w:firstLine="420" w:firstLineChars="200"/>
        <w:contextualSpacing/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  <w:t>学员通过所报专业硕士研究生所有必修课程和选修课程考试，修满学分成绩合格，课程学习结束时发给江西财经大学硕士研究生课程班结业证书。</w:t>
      </w:r>
    </w:p>
    <w:p w14:paraId="45FCED12">
      <w:pPr>
        <w:pStyle w:val="5"/>
        <w:numPr>
          <w:ilvl w:val="0"/>
          <w:numId w:val="3"/>
        </w:numPr>
        <w:snapToGrid w:val="0"/>
        <w:spacing w:line="360" w:lineRule="auto"/>
        <w:ind w:firstLine="420" w:firstLineChars="200"/>
        <w:contextualSpacing/>
        <w:rPr>
          <w:rFonts w:hint="default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完成所有课程学习并且考核合格这，满足同等学力申请硕士学位条件学员，可参加全国统一考试，成绩合格达标者可进入学位论文写作阶段，论文通过评审、答辩，并经由我校学位评定委员会批准，可授予江西财经大学管理学硕士学位。</w:t>
      </w:r>
    </w:p>
    <w:p w14:paraId="2EE4C7DD">
      <w:pPr>
        <w:pStyle w:val="5"/>
        <w:numPr>
          <w:ilvl w:val="0"/>
          <w:numId w:val="0"/>
        </w:numPr>
        <w:snapToGrid w:val="0"/>
        <w:spacing w:line="360" w:lineRule="auto"/>
        <w:contextualSpacing/>
        <w:rPr>
          <w:rFonts w:hint="default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</w:p>
    <w:p w14:paraId="0E5FBE14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收费标准：</w:t>
      </w:r>
    </w:p>
    <w:p w14:paraId="0FEF568B">
      <w:pPr>
        <w:pStyle w:val="5"/>
        <w:numPr>
          <w:ilvl w:val="0"/>
          <w:numId w:val="0"/>
        </w:numPr>
        <w:snapToGrid w:val="0"/>
        <w:spacing w:line="360" w:lineRule="auto"/>
        <w:ind w:firstLine="420" w:firstLineChars="200"/>
        <w:contextualSpacing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 xml:space="preserve">学费缴纳分两段制进行，即课程学习阶段和撰写学位论文和论文答辩阶段，课程学习培养阶段学费为25000元，论文指导费为8000元，收费要求以学校实际要求为准。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 w14:paraId="298A6F09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</w:p>
    <w:p w14:paraId="19440542">
      <w:pPr>
        <w:pStyle w:val="5"/>
        <w:snapToGrid w:val="0"/>
        <w:spacing w:line="360" w:lineRule="auto"/>
        <w:contextualSpacing/>
        <w:rPr>
          <w:rFonts w:asciiTheme="minorEastAsia" w:hAnsiTheme="minorEastAsia"/>
          <w:szCs w:val="21"/>
        </w:rPr>
      </w:pPr>
      <w:bookmarkStart w:id="0" w:name="_GoBack"/>
      <w:bookmarkEnd w:id="0"/>
    </w:p>
    <w:sectPr>
      <w:headerReference r:id="rId5" w:type="first"/>
      <w:headerReference r:id="rId3" w:type="default"/>
      <w:head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658E3">
    <w:pPr>
      <w:pStyle w:val="4"/>
      <w:tabs>
        <w:tab w:val="center" w:pos="4213"/>
        <w:tab w:val="left" w:pos="6891"/>
      </w:tabs>
      <w:jc w:val="left"/>
    </w:pPr>
    <w: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66690" cy="5266690"/>
          <wp:effectExtent l="0" t="0" r="10160" b="10160"/>
          <wp:wrapNone/>
          <wp:docPr id="4" name="WordPictureWatermark113217064" descr="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113217064" descr="222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6690" cy="5266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653827">
    <w:pPr>
      <w:pStyle w:val="4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66690" cy="5266690"/>
          <wp:effectExtent l="0" t="0" r="10160" b="10160"/>
          <wp:wrapNone/>
          <wp:docPr id="3" name="WordPictureWatermark113217063" descr="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113217063" descr="222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6690" cy="5266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AE7DAF">
    <w:pPr>
      <w:pStyle w:val="4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66690" cy="5266690"/>
          <wp:effectExtent l="0" t="0" r="10160" b="10160"/>
          <wp:wrapNone/>
          <wp:docPr id="1" name="WordPictureWatermark113217062" descr="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13217062" descr="222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6690" cy="5266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8DE9EA"/>
    <w:multiLevelType w:val="singleLevel"/>
    <w:tmpl w:val="9F8DE9EA"/>
    <w:lvl w:ilvl="0" w:tentative="0">
      <w:start w:val="1"/>
      <w:numFmt w:val="decimal"/>
      <w:suff w:val="nothing"/>
      <w:lvlText w:val="%1、"/>
      <w:lvlJc w:val="left"/>
      <w:pPr>
        <w:ind w:left="-62"/>
      </w:pPr>
      <w:rPr>
        <w:rFonts w:hint="default"/>
        <w:b/>
        <w:bCs/>
      </w:rPr>
    </w:lvl>
  </w:abstractNum>
  <w:abstractNum w:abstractNumId="1">
    <w:nsid w:val="FD979A40"/>
    <w:multiLevelType w:val="singleLevel"/>
    <w:tmpl w:val="FD979A40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abstractNum w:abstractNumId="2">
    <w:nsid w:val="7196749F"/>
    <w:multiLevelType w:val="singleLevel"/>
    <w:tmpl w:val="7196749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5ODQ5N2Q1NmI0ZDAwYTJiMTcyMmU3ZjhhMWE4NmEifQ=="/>
  </w:docVars>
  <w:rsids>
    <w:rsidRoot w:val="00B032C0"/>
    <w:rsid w:val="00082F90"/>
    <w:rsid w:val="0008532F"/>
    <w:rsid w:val="000A69B5"/>
    <w:rsid w:val="000E73B0"/>
    <w:rsid w:val="001514BE"/>
    <w:rsid w:val="00160303"/>
    <w:rsid w:val="001904E4"/>
    <w:rsid w:val="00223CE0"/>
    <w:rsid w:val="002519DA"/>
    <w:rsid w:val="00296044"/>
    <w:rsid w:val="002B1210"/>
    <w:rsid w:val="002B1B2B"/>
    <w:rsid w:val="004B538B"/>
    <w:rsid w:val="004E753A"/>
    <w:rsid w:val="004F5BC4"/>
    <w:rsid w:val="00556C91"/>
    <w:rsid w:val="005B2E48"/>
    <w:rsid w:val="00715789"/>
    <w:rsid w:val="00717213"/>
    <w:rsid w:val="00764FAE"/>
    <w:rsid w:val="007B0553"/>
    <w:rsid w:val="007D1D49"/>
    <w:rsid w:val="00800692"/>
    <w:rsid w:val="00810410"/>
    <w:rsid w:val="009D1993"/>
    <w:rsid w:val="00A16BE0"/>
    <w:rsid w:val="00AB0641"/>
    <w:rsid w:val="00AC5EE8"/>
    <w:rsid w:val="00B032C0"/>
    <w:rsid w:val="00B35C22"/>
    <w:rsid w:val="00B552D8"/>
    <w:rsid w:val="00BF6C72"/>
    <w:rsid w:val="00C5768A"/>
    <w:rsid w:val="00CC3E5F"/>
    <w:rsid w:val="00D00E82"/>
    <w:rsid w:val="00D61FBE"/>
    <w:rsid w:val="00D95A35"/>
    <w:rsid w:val="00DA56A4"/>
    <w:rsid w:val="00E1601C"/>
    <w:rsid w:val="00E35455"/>
    <w:rsid w:val="00EB2B73"/>
    <w:rsid w:val="00EB77DD"/>
    <w:rsid w:val="00EC57B5"/>
    <w:rsid w:val="00F03EC2"/>
    <w:rsid w:val="00F53410"/>
    <w:rsid w:val="00FA4E16"/>
    <w:rsid w:val="00FE08FD"/>
    <w:rsid w:val="07A20778"/>
    <w:rsid w:val="08037A4E"/>
    <w:rsid w:val="0AB903B7"/>
    <w:rsid w:val="1236663D"/>
    <w:rsid w:val="133B6D19"/>
    <w:rsid w:val="1C321559"/>
    <w:rsid w:val="205138FC"/>
    <w:rsid w:val="23165E81"/>
    <w:rsid w:val="25DB7988"/>
    <w:rsid w:val="33114748"/>
    <w:rsid w:val="3C9B62A5"/>
    <w:rsid w:val="49766A5B"/>
    <w:rsid w:val="49B24E9D"/>
    <w:rsid w:val="52E65031"/>
    <w:rsid w:val="576A35BB"/>
    <w:rsid w:val="5EAF647B"/>
    <w:rsid w:val="613967DA"/>
    <w:rsid w:val="64F56A8A"/>
    <w:rsid w:val="6632786B"/>
    <w:rsid w:val="77F2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basedOn w:val="8"/>
    <w:autoRedefine/>
    <w:qFormat/>
    <w:uiPriority w:val="20"/>
    <w:rPr>
      <w:i/>
    </w:rPr>
  </w:style>
  <w:style w:type="character" w:styleId="10">
    <w:name w:val="Hyperlink"/>
    <w:basedOn w:val="8"/>
    <w:autoRedefine/>
    <w:semiHidden/>
    <w:unhideWhenUsed/>
    <w:qFormat/>
    <w:uiPriority w:val="99"/>
    <w:rPr>
      <w:color w:val="0000FF"/>
      <w:u w:val="single"/>
    </w:rPr>
  </w:style>
  <w:style w:type="character" w:customStyle="1" w:styleId="11">
    <w:name w:val="批注框文本 Char"/>
    <w:basedOn w:val="8"/>
    <w:link w:val="2"/>
    <w:autoRedefine/>
    <w:semiHidden/>
    <w:qFormat/>
    <w:uiPriority w:val="99"/>
    <w:rPr>
      <w:sz w:val="18"/>
      <w:szCs w:val="18"/>
    </w:rPr>
  </w:style>
  <w:style w:type="character" w:customStyle="1" w:styleId="12">
    <w:name w:val="页眉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1577</Words>
  <Characters>1607</Characters>
  <Lines>14</Lines>
  <Paragraphs>3</Paragraphs>
  <TotalTime>6</TotalTime>
  <ScaleCrop>false</ScaleCrop>
  <LinksUpToDate>false</LinksUpToDate>
  <CharactersWithSpaces>1629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2021-03-07T09:19:00Z</dcterms:created>
  <dc:creator>微软用户</dc:creator>
  <cp:lastModifiedBy>Administrator</cp:lastModifiedBy>
  <dcterms:modified xsi:type="dcterms:W3CDTF">2026-01-14T10:55:54Z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63C47A8B24644F4988C95CB5AB0E6B98</vt:lpwstr>
  </property>
  <property fmtid="{D5CDD505-2E9C-101B-9397-08002B2CF9AE}" pid="4" name="KSOTemplateDocerSaveRecord">
    <vt:lpwstr>eyJoZGlkIjoiMjJkYmYyOGQwNjU2YTFjYjBlYWQzZDdlZjc2Nzk1ZWYifQ==</vt:lpwstr>
  </property>
</Properties>
</file>