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5D301">
      <w:r>
        <w:rPr>
          <w:rFonts w:hint="eastAsia"/>
        </w:rPr>
        <w:t xml:space="preserve">             </w:t>
      </w:r>
      <w:r>
        <w:drawing>
          <wp:inline distT="0" distB="0" distL="114300" distR="114300">
            <wp:extent cx="4848225" cy="1295400"/>
            <wp:effectExtent l="0" t="0" r="9525" b="0"/>
            <wp:docPr id="6" name="图片 6" descr="QQ截图2021061511174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QQ截图20210615111741_副本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1EA3B"/>
    <w:p w14:paraId="4CE1E940">
      <w:pPr>
        <w:adjustRightInd w:val="0"/>
        <w:snapToGrid w:val="0"/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锦州医科大学药学学科同等学力申硕招生简章</w:t>
      </w:r>
    </w:p>
    <w:p w14:paraId="0E59B64A">
      <w:pPr>
        <w:snapToGrid w:val="0"/>
        <w:spacing w:line="360" w:lineRule="auto"/>
        <w:contextualSpacing/>
        <w:jc w:val="center"/>
        <w:rPr>
          <w:rFonts w:asciiTheme="minorEastAsia" w:hAnsiTheme="minorEastAsia" w:eastAsiaTheme="minorEastAsia" w:cstheme="minorEastAsia"/>
          <w:b/>
          <w:bCs/>
          <w:sz w:val="36"/>
          <w:szCs w:val="36"/>
        </w:rPr>
      </w:pPr>
    </w:p>
    <w:p w14:paraId="59F093B6">
      <w:pPr>
        <w:numPr>
          <w:ilvl w:val="0"/>
          <w:numId w:val="1"/>
        </w:num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院校及学科简介</w:t>
      </w:r>
    </w:p>
    <w:p w14:paraId="73C6FBA4">
      <w:pPr>
        <w:snapToGrid w:val="0"/>
        <w:spacing w:line="360" w:lineRule="auto"/>
        <w:ind w:firstLine="600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锦州医科大学诞生于解放战争时期，学校前身为1946年在吉林省洮南市成立的辽吉军区卫生学校。1949年迁址辽宁省锦州市，2016年3月，正式更名为锦州医科大学。经过70余年的发展已成为一所以医学为主，多门类、多层次、多种办学形式的省属普通高等院校。学校研究生教育工作始于1979年，先与中国医科大学联合培养硕士研究生，1984年成为全国第二批拥有硕士学位授予权的高等院校之一。</w:t>
      </w:r>
    </w:p>
    <w:p w14:paraId="0E16D430">
      <w:pPr>
        <w:snapToGrid w:val="0"/>
        <w:spacing w:line="360" w:lineRule="auto"/>
        <w:ind w:firstLine="600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学校1984年成为硕士学位授予权单位，1999年获得具有同等学力人员申请硕士学位授予权资格，现有8个硕士学位授权一级学科，58个二级学科硕士学位授权点，5个硕士专业学位授权点；2003年经教育部批准，与中国医科大学联合培养博士研究生，现与暨南大学、苏州大学、大连医科大学联办博士点，聘任临床医学专业博士生导师21人。坚持“质量立校、学科强校、人才兴校、作风正校、依法治校”的办学理念，秉承“勤俭办学、克难攻坚”的优良传统，为建设特色鲜明的高水平医科大学不懈奋斗。</w:t>
      </w:r>
    </w:p>
    <w:p w14:paraId="108D7231">
      <w:pPr>
        <w:snapToGrid w:val="0"/>
        <w:spacing w:line="360" w:lineRule="auto"/>
        <w:ind w:firstLine="600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自古以来医学和药学都是互相影响、共同发展、相辅相成的，药学是连接健康科学和化学科学的医疗保健行业，承担着确保药品的安全和有效使用的职责，它主要研究药物的来源、</w:t>
      </w:r>
      <w:r>
        <w:fldChar w:fldCharType="begin"/>
      </w:r>
      <w:r>
        <w:instrText xml:space="preserve"> HYPERLINK "https://baike.baidu.com/item/%E7%82%AE%E5%88%B6/594357" \t "https://baike.baidu.com/item/%E8%8D%AF%E5%AD%A6/_blank" </w:instrText>
      </w:r>
      <w:r>
        <w:fldChar w:fldCharType="separate"/>
      </w:r>
      <w:r>
        <w:rPr>
          <w:rFonts w:asciiTheme="minorEastAsia" w:hAnsiTheme="minorEastAsia" w:eastAsiaTheme="minorEastAsia" w:cstheme="minorEastAsia"/>
          <w:sz w:val="24"/>
        </w:rPr>
        <w:t>炮制</w:t>
      </w:r>
      <w:r>
        <w:rPr>
          <w:rFonts w:asciiTheme="minorEastAsia" w:hAnsiTheme="minorEastAsia" w:eastAsiaTheme="minorEastAsia" w:cstheme="minorEastAsia"/>
          <w:sz w:val="24"/>
        </w:rPr>
        <w:fldChar w:fldCharType="end"/>
      </w:r>
      <w:r>
        <w:rPr>
          <w:rFonts w:asciiTheme="minorEastAsia" w:hAnsiTheme="minorEastAsia" w:eastAsiaTheme="minorEastAsia" w:cstheme="minorEastAsia"/>
          <w:sz w:val="24"/>
        </w:rPr>
        <w:t>、性状、作用、分析、鉴定、调配、生产、保管和寻找（包括合成）新药等</w:t>
      </w:r>
      <w:r>
        <w:rPr>
          <w:rFonts w:hint="eastAsia" w:asciiTheme="minorEastAsia" w:hAnsiTheme="minorEastAsia" w:eastAsiaTheme="minorEastAsia" w:cstheme="minorEastAsia"/>
          <w:sz w:val="24"/>
        </w:rPr>
        <w:t>，为治疗疾病发挥着其不可撼动的地位。本校现开放了药学专业的药物化学、药剂学、生药学、药物分析学、微生物与生化药学、药理学六门专业的同等学力人员申请硕士学位课程班，用以培养更多的医学人才。</w:t>
      </w:r>
    </w:p>
    <w:p w14:paraId="14E09968">
      <w:pPr>
        <w:numPr>
          <w:ilvl w:val="0"/>
          <w:numId w:val="1"/>
        </w:num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培养目标</w:t>
      </w:r>
    </w:p>
    <w:p w14:paraId="151E072A">
      <w:pPr>
        <w:snapToGrid w:val="0"/>
        <w:spacing w:line="360" w:lineRule="auto"/>
        <w:ind w:firstLine="480" w:firstLineChars="20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本学科专业通过学习和掌握</w:t>
      </w:r>
      <w:r>
        <w:rPr>
          <w:rFonts w:asciiTheme="minorEastAsia" w:hAnsiTheme="minorEastAsia" w:eastAsiaTheme="minorEastAsia" w:cstheme="minorEastAsia"/>
          <w:sz w:val="24"/>
        </w:rPr>
        <w:t>药学各分支学科的基本理论和基础知识</w:t>
      </w:r>
      <w:r>
        <w:rPr>
          <w:rFonts w:hint="eastAsia" w:asciiTheme="minorEastAsia" w:hAnsiTheme="minorEastAsia" w:eastAsiaTheme="minorEastAsia" w:cstheme="minorEastAsia"/>
          <w:sz w:val="24"/>
        </w:rPr>
        <w:t>，</w:t>
      </w:r>
      <w:r>
        <w:rPr>
          <w:rFonts w:asciiTheme="minorEastAsia" w:hAnsiTheme="minorEastAsia" w:eastAsiaTheme="minorEastAsia" w:cstheme="minorEastAsia"/>
          <w:sz w:val="24"/>
        </w:rPr>
        <w:t>接受药学科研方法和技能的基本训练</w:t>
      </w:r>
      <w:r>
        <w:rPr>
          <w:rFonts w:hint="eastAsia" w:asciiTheme="minorEastAsia" w:hAnsiTheme="minorEastAsia" w:eastAsiaTheme="minorEastAsia" w:cstheme="minorEastAsia"/>
          <w:sz w:val="24"/>
        </w:rPr>
        <w:t>，</w:t>
      </w:r>
      <w:r>
        <w:rPr>
          <w:rFonts w:asciiTheme="minorEastAsia" w:hAnsiTheme="minorEastAsia" w:eastAsiaTheme="minorEastAsia" w:cstheme="minorEastAsia"/>
          <w:sz w:val="24"/>
        </w:rPr>
        <w:t>药剂学、药理学、药物化学和药物分析等学科的基本理论和基本知识</w:t>
      </w:r>
      <w:r>
        <w:rPr>
          <w:rFonts w:hint="eastAsia" w:asciiTheme="minorEastAsia" w:hAnsiTheme="minorEastAsia" w:eastAsiaTheme="minorEastAsia" w:cstheme="minorEastAsia"/>
          <w:sz w:val="24"/>
        </w:rPr>
        <w:t>，培养具备</w:t>
      </w:r>
      <w:r>
        <w:rPr>
          <w:rFonts w:asciiTheme="minorEastAsia" w:hAnsiTheme="minorEastAsia" w:eastAsiaTheme="minorEastAsia" w:cstheme="minorEastAsia"/>
          <w:sz w:val="24"/>
        </w:rPr>
        <w:t>较扎实的基础和较宽广的专业知识</w:t>
      </w:r>
      <w:r>
        <w:rPr>
          <w:rFonts w:hint="eastAsia" w:asciiTheme="minorEastAsia" w:hAnsiTheme="minorEastAsia" w:eastAsiaTheme="minorEastAsia" w:cstheme="minorEastAsia"/>
          <w:sz w:val="24"/>
        </w:rPr>
        <w:t>，</w:t>
      </w:r>
      <w:r>
        <w:rPr>
          <w:rFonts w:asciiTheme="minorEastAsia" w:hAnsiTheme="minorEastAsia" w:eastAsiaTheme="minorEastAsia" w:cstheme="minorEastAsia"/>
          <w:sz w:val="24"/>
        </w:rPr>
        <w:t>了解现代药学的发展动态</w:t>
      </w:r>
      <w:r>
        <w:rPr>
          <w:rFonts w:hint="eastAsia" w:asciiTheme="minorEastAsia" w:hAnsiTheme="minorEastAsia" w:eastAsiaTheme="minorEastAsia" w:cstheme="minorEastAsia"/>
          <w:sz w:val="24"/>
        </w:rPr>
        <w:t>，</w:t>
      </w:r>
      <w:r>
        <w:rPr>
          <w:rFonts w:asciiTheme="minorEastAsia" w:hAnsiTheme="minorEastAsia" w:eastAsiaTheme="minorEastAsia" w:cstheme="minorEastAsia"/>
          <w:sz w:val="24"/>
        </w:rPr>
        <w:t>具有药物的初步设计能力、选择药物分析方法的能力、新药药理实验与评价的能力、参与临床合理用药的能力</w:t>
      </w:r>
      <w:r>
        <w:rPr>
          <w:rFonts w:hint="eastAsia" w:asciiTheme="minorEastAsia" w:hAnsiTheme="minorEastAsia" w:eastAsiaTheme="minorEastAsia" w:cstheme="minorEastAsia"/>
          <w:sz w:val="24"/>
        </w:rPr>
        <w:t>的</w:t>
      </w:r>
      <w:r>
        <w:rPr>
          <w:rFonts w:asciiTheme="minorEastAsia" w:hAnsiTheme="minorEastAsia" w:eastAsiaTheme="minorEastAsia" w:cstheme="minorEastAsia"/>
          <w:sz w:val="24"/>
        </w:rPr>
        <w:t>能从事药物化学、药物分析、药物评价、临床合理用药、医药经营及管理、新药研究与开发、药品生产与管理等方面工作的高级科学技术人才。</w:t>
      </w:r>
    </w:p>
    <w:p w14:paraId="3F7FE36B">
      <w:p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</w:p>
    <w:p w14:paraId="1796F877">
      <w:pPr>
        <w:numPr>
          <w:ilvl w:val="0"/>
          <w:numId w:val="1"/>
        </w:num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培养优势</w:t>
      </w:r>
    </w:p>
    <w:p w14:paraId="0828760E">
      <w:pPr>
        <w:widowControl/>
        <w:spacing w:line="360" w:lineRule="auto"/>
        <w:ind w:firstLine="482" w:firstLineChars="200"/>
        <w:contextualSpacing/>
        <w:jc w:val="left"/>
        <w:rPr>
          <w:rFonts w:ascii="Times New Roman" w:hAnsi="Times New Roma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1、免试入学：</w:t>
      </w:r>
      <w:r>
        <w:rPr>
          <w:rFonts w:hint="eastAsia" w:asciiTheme="minorEastAsia" w:hAnsiTheme="minorEastAsia" w:eastAsiaTheme="minorEastAsia" w:cstheme="minorEastAsia"/>
          <w:sz w:val="24"/>
        </w:rPr>
        <w:t>大学本科学历获得学士学位，并获得学士学位后工作三年以上社会人士即可报名参加，先学习再考试，有足够充分的准备和学习课程的时间；</w:t>
      </w:r>
    </w:p>
    <w:p w14:paraId="6DF6DACE">
      <w:pPr>
        <w:snapToGrid w:val="0"/>
        <w:spacing w:line="360" w:lineRule="auto"/>
        <w:ind w:firstLine="602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2、专业优势:</w:t>
      </w:r>
      <w:r>
        <w:rPr>
          <w:rFonts w:hint="eastAsia" w:asciiTheme="minorEastAsia" w:hAnsiTheme="minorEastAsia" w:eastAsiaTheme="minorEastAsia" w:cstheme="minorEastAsia"/>
          <w:sz w:val="24"/>
        </w:rPr>
        <w:t>学校1999年获得具有同等学力人员申请硕士学位授予权资格，现有8个硕士学位授权一级学科，58个二级学科硕士学位授权点，5个硕士专业学位授权点；</w:t>
      </w:r>
    </w:p>
    <w:p w14:paraId="13560649">
      <w:pPr>
        <w:snapToGrid w:val="0"/>
        <w:spacing w:line="360" w:lineRule="auto"/>
        <w:ind w:firstLine="602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3、师资队伍：</w:t>
      </w:r>
      <w:r>
        <w:rPr>
          <w:rFonts w:hint="eastAsia" w:asciiTheme="minorEastAsia" w:hAnsiTheme="minorEastAsia" w:eastAsiaTheme="minorEastAsia" w:cstheme="minorEastAsia"/>
          <w:sz w:val="24"/>
        </w:rPr>
        <w:t>学校师资丰厚，与中国医科大学联合培养博士研究生，有国家级高层次人才、国家教学名师奖获得者、教育部高等学校教学指导委员会委员等等；</w:t>
      </w:r>
    </w:p>
    <w:p w14:paraId="1969DD0E">
      <w:pPr>
        <w:snapToGrid w:val="0"/>
        <w:spacing w:line="360" w:lineRule="auto"/>
        <w:ind w:firstLine="602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4、国际合作：</w:t>
      </w:r>
      <w:r>
        <w:rPr>
          <w:rFonts w:hint="eastAsia" w:asciiTheme="minorEastAsia" w:hAnsiTheme="minorEastAsia" w:eastAsiaTheme="minorEastAsia" w:cstheme="minorEastAsia"/>
          <w:sz w:val="24"/>
        </w:rPr>
        <w:t>学校顺应国际医学教育发展趋势，与美国夏威夷、英国亚伯大学、北非突尼斯等等国家都有交流活动，加深学生联合培养、教师互访、科学研究等方面开展实质性合作交流互动；</w:t>
      </w:r>
    </w:p>
    <w:p w14:paraId="4F27C4F1">
      <w:pPr>
        <w:snapToGrid w:val="0"/>
        <w:spacing w:line="360" w:lineRule="auto"/>
        <w:ind w:firstLine="602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5、科研优势：</w:t>
      </w:r>
      <w:r>
        <w:rPr>
          <w:rFonts w:hint="eastAsia" w:asciiTheme="minorEastAsia" w:hAnsiTheme="minorEastAsia" w:eastAsiaTheme="minorEastAsia" w:cstheme="minorEastAsia"/>
          <w:sz w:val="24"/>
        </w:rPr>
        <w:t>学校科研工作起步较早，承担的“稻田皮炎的病因和防治研究”项目在全国科学大会上获重大贡献奖，有全国“地甲病”和“地克病”研究中心等等；</w:t>
      </w:r>
    </w:p>
    <w:p w14:paraId="4C5E960D">
      <w:pPr>
        <w:snapToGrid w:val="0"/>
        <w:spacing w:line="360" w:lineRule="auto"/>
        <w:ind w:firstLine="602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6、社会服务：</w:t>
      </w:r>
      <w:r>
        <w:rPr>
          <w:rFonts w:hint="eastAsia" w:asciiTheme="minorEastAsia" w:hAnsiTheme="minorEastAsia" w:eastAsiaTheme="minorEastAsia" w:cstheme="minorEastAsia"/>
          <w:sz w:val="24"/>
        </w:rPr>
        <w:t>学校高度重视党的建设和思想政治工作，注重加强社会主义核心价值观教育和精神文明建设，先后获得“全国五四红旗团委”“中国民主同盟先进集体”“中国民主同盟先进基层组织”等荣誉称号。</w:t>
      </w:r>
    </w:p>
    <w:p w14:paraId="5E33A33B">
      <w:p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</w:p>
    <w:p w14:paraId="6F173A66">
      <w:pPr>
        <w:snapToGrid w:val="0"/>
        <w:spacing w:line="360" w:lineRule="auto"/>
        <w:contextualSpacing/>
        <w:rPr>
          <w:rFonts w:hint="eastAsia" w:asciiTheme="minorEastAsia" w:hAnsiTheme="minorEastAsia" w:eastAsiaTheme="minorEastAsia" w:cstheme="minorEastAsia"/>
          <w:b/>
          <w:bCs/>
          <w:sz w:val="24"/>
        </w:rPr>
      </w:pPr>
    </w:p>
    <w:p w14:paraId="2643BCF0">
      <w:p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</w:p>
    <w:p w14:paraId="2D58966C">
      <w:pPr>
        <w:numPr>
          <w:ilvl w:val="0"/>
          <w:numId w:val="1"/>
        </w:num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学科专业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2F67E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1" w:type="dxa"/>
            <w:gridSpan w:val="2"/>
          </w:tcPr>
          <w:p w14:paraId="2451576D">
            <w:pPr>
              <w:snapToGrid w:val="0"/>
              <w:spacing w:line="360" w:lineRule="auto"/>
              <w:ind w:leftChars="100"/>
              <w:contextualSpacing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vertAlign w:val="baseline"/>
                <w:lang w:val="en-US" w:eastAsia="zh-CN"/>
              </w:rPr>
              <w:t>药学学科专业</w:t>
            </w:r>
          </w:p>
        </w:tc>
        <w:tc>
          <w:tcPr>
            <w:tcW w:w="2841" w:type="dxa"/>
          </w:tcPr>
          <w:p w14:paraId="33ED4FC9">
            <w:pPr>
              <w:snapToGrid w:val="0"/>
              <w:spacing w:line="360" w:lineRule="auto"/>
              <w:ind w:leftChars="100"/>
              <w:contextualSpacing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vertAlign w:val="baseline"/>
                <w:lang w:val="en-US" w:eastAsia="zh-CN"/>
              </w:rPr>
              <w:t>全国统考科目</w:t>
            </w:r>
          </w:p>
        </w:tc>
      </w:tr>
      <w:tr w14:paraId="33C4B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E25AA14">
            <w:pPr>
              <w:snapToGrid w:val="0"/>
              <w:spacing w:line="360" w:lineRule="auto"/>
              <w:ind w:leftChars="100"/>
              <w:contextualSpacing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vertAlign w:val="baseline"/>
                <w:lang w:val="en-US" w:eastAsia="zh-CN"/>
              </w:rPr>
              <w:t>药理学</w:t>
            </w:r>
          </w:p>
        </w:tc>
        <w:tc>
          <w:tcPr>
            <w:tcW w:w="2841" w:type="dxa"/>
          </w:tcPr>
          <w:p w14:paraId="5CC74334">
            <w:pPr>
              <w:snapToGrid w:val="0"/>
              <w:spacing w:line="360" w:lineRule="auto"/>
              <w:ind w:leftChars="10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vertAlign w:val="baseline"/>
                <w:lang w:val="en-US" w:eastAsia="zh-CN"/>
              </w:rPr>
              <w:t>药物化学</w:t>
            </w:r>
          </w:p>
        </w:tc>
        <w:tc>
          <w:tcPr>
            <w:tcW w:w="2841" w:type="dxa"/>
            <w:vMerge w:val="restart"/>
          </w:tcPr>
          <w:p w14:paraId="2E514DEC">
            <w:pPr>
              <w:snapToGrid w:val="0"/>
              <w:spacing w:line="360" w:lineRule="auto"/>
              <w:ind w:leftChars="100"/>
              <w:contextualSpacing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vertAlign w:val="baseline"/>
              </w:rPr>
            </w:pPr>
          </w:p>
          <w:p w14:paraId="68B2F8C9">
            <w:pPr>
              <w:bidi w:val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英语</w:t>
            </w:r>
          </w:p>
        </w:tc>
      </w:tr>
      <w:tr w14:paraId="69640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C535358">
            <w:pPr>
              <w:snapToGrid w:val="0"/>
              <w:spacing w:line="360" w:lineRule="auto"/>
              <w:ind w:leftChars="10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vertAlign w:val="baseline"/>
                <w:lang w:val="en-US" w:eastAsia="zh-CN"/>
              </w:rPr>
              <w:t>药剂学</w:t>
            </w:r>
          </w:p>
        </w:tc>
        <w:tc>
          <w:tcPr>
            <w:tcW w:w="2841" w:type="dxa"/>
          </w:tcPr>
          <w:p w14:paraId="14109B6D">
            <w:pPr>
              <w:snapToGrid w:val="0"/>
              <w:spacing w:line="360" w:lineRule="auto"/>
              <w:ind w:leftChars="100"/>
              <w:contextualSpacing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vertAlign w:val="baseline"/>
                <w:lang w:val="en-US" w:eastAsia="zh-CN"/>
              </w:rPr>
              <w:t>生药学</w:t>
            </w:r>
          </w:p>
        </w:tc>
        <w:tc>
          <w:tcPr>
            <w:tcW w:w="2841" w:type="dxa"/>
            <w:vMerge w:val="continue"/>
          </w:tcPr>
          <w:p w14:paraId="52A6F435">
            <w:pPr>
              <w:snapToGrid w:val="0"/>
              <w:spacing w:line="360" w:lineRule="auto"/>
              <w:ind w:leftChars="100"/>
              <w:contextualSpacing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vertAlign w:val="baseline"/>
              </w:rPr>
            </w:pPr>
          </w:p>
        </w:tc>
      </w:tr>
      <w:tr w14:paraId="3DE06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03ECC5F">
            <w:pPr>
              <w:snapToGrid w:val="0"/>
              <w:spacing w:line="360" w:lineRule="auto"/>
              <w:ind w:leftChars="10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vertAlign w:val="baseline"/>
                <w:lang w:val="en-US" w:eastAsia="zh-CN"/>
              </w:rPr>
              <w:t>药物分析学</w:t>
            </w:r>
          </w:p>
        </w:tc>
        <w:tc>
          <w:tcPr>
            <w:tcW w:w="2841" w:type="dxa"/>
          </w:tcPr>
          <w:p w14:paraId="3C0F5E2D">
            <w:pPr>
              <w:snapToGrid w:val="0"/>
              <w:spacing w:line="360" w:lineRule="auto"/>
              <w:ind w:leftChars="100"/>
              <w:contextualSpacing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vertAlign w:val="baseline"/>
                <w:lang w:val="en-US" w:eastAsia="zh-CN"/>
              </w:rPr>
              <w:t>微生物与生化药学</w:t>
            </w:r>
          </w:p>
        </w:tc>
        <w:tc>
          <w:tcPr>
            <w:tcW w:w="2841" w:type="dxa"/>
            <w:vMerge w:val="continue"/>
          </w:tcPr>
          <w:p w14:paraId="6DF959F5">
            <w:pPr>
              <w:snapToGrid w:val="0"/>
              <w:spacing w:line="360" w:lineRule="auto"/>
              <w:ind w:leftChars="100"/>
              <w:contextualSpacing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vertAlign w:val="baseline"/>
              </w:rPr>
            </w:pPr>
          </w:p>
        </w:tc>
      </w:tr>
    </w:tbl>
    <w:p w14:paraId="728C3D9C">
      <w:p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</w:p>
    <w:p w14:paraId="486F8F57">
      <w:pPr>
        <w:numPr>
          <w:ilvl w:val="0"/>
          <w:numId w:val="1"/>
        </w:num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报考条件</w:t>
      </w:r>
    </w:p>
    <w:p w14:paraId="11DF94A4">
      <w:pPr>
        <w:snapToGrid w:val="0"/>
        <w:spacing w:line="360" w:lineRule="auto"/>
        <w:ind w:firstLine="600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1、拥护中国共产党的领导，遵纪守法、品德优良。</w:t>
      </w:r>
    </w:p>
    <w:p w14:paraId="5CA39B41">
      <w:pPr>
        <w:snapToGrid w:val="0"/>
        <w:spacing w:line="360" w:lineRule="auto"/>
        <w:ind w:firstLine="600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2、经本人所在工作单位同意，在申请学位的专业或相近专业做出成绩，为本单位业务骨干；身体健康，能坚持完成学业。</w:t>
      </w:r>
    </w:p>
    <w:p w14:paraId="65D038DE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3、申请人必须获得学士学位并在获得学士学位后工作三年以上，或者虽无学士学位但已获得硕士或博士学位。</w:t>
      </w:r>
    </w:p>
    <w:p w14:paraId="1C135822">
      <w:pPr>
        <w:snapToGrid w:val="0"/>
        <w:spacing w:line="360" w:lineRule="auto"/>
        <w:ind w:firstLine="600" w:firstLineChars="250"/>
        <w:contextualSpacing/>
        <w:rPr>
          <w:rFonts w:hint="default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4、第一外语为英语</w:t>
      </w:r>
    </w:p>
    <w:p w14:paraId="3DA3ADCD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sz w:val="24"/>
        </w:rPr>
        <w:t>申请学术学位的申请人还需满足下列条件之一：</w:t>
      </w:r>
    </w:p>
    <w:p w14:paraId="2B5EBF8F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（1）获得中级或以上职称；</w:t>
      </w:r>
    </w:p>
    <w:p w14:paraId="75465CC0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（2）主持或参与获得教学、科研、管理的项目或成果；</w:t>
      </w:r>
    </w:p>
    <w:p w14:paraId="3C68A55F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（3）以第一作者/通讯作者在国内公开发行的杂志期刊中发表或出版与申请专业相关/相近的文章或专著；</w:t>
      </w:r>
    </w:p>
    <w:p w14:paraId="5D964607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（4）申请人授权专利项目（排序前8名）；</w:t>
      </w:r>
    </w:p>
    <w:p w14:paraId="0C354446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（5）申请人获得本单位及以上有关专门技术比赛的奖项或荣誉称号。</w:t>
      </w:r>
    </w:p>
    <w:p w14:paraId="4E5C19BE">
      <w:p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</w:p>
    <w:p w14:paraId="405DB652">
      <w:pPr>
        <w:numPr>
          <w:ilvl w:val="0"/>
          <w:numId w:val="1"/>
        </w:num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报名材料</w:t>
      </w:r>
    </w:p>
    <w:p w14:paraId="4951C643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1.二代居民身份证</w:t>
      </w:r>
    </w:p>
    <w:p w14:paraId="50C72EA2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2.本科毕业证</w:t>
      </w:r>
    </w:p>
    <w:p w14:paraId="4FB4A52C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3.教育部学历证书电子注册备案表（6个月有效期内）</w:t>
      </w:r>
    </w:p>
    <w:p w14:paraId="7CA1ECE0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4.学士学位证书</w:t>
      </w:r>
    </w:p>
    <w:p w14:paraId="0310DB36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5.中国高等教育学位在线验证报告（6个月内有效期）</w:t>
      </w:r>
    </w:p>
    <w:p w14:paraId="066D44C9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6.锦州医科大学以研究生毕业同等学力申请学术型硕士学位登记表</w:t>
      </w:r>
    </w:p>
    <w:p w14:paraId="167B468C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7.锦州医科大学以研究生毕业同等学力入学知情同意书</w:t>
      </w:r>
    </w:p>
    <w:p w14:paraId="790F3652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8.申请学术型硕士学位个人情况表</w:t>
      </w:r>
    </w:p>
    <w:p w14:paraId="7821E8AC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9.蓝底照</w:t>
      </w:r>
    </w:p>
    <w:p w14:paraId="6886B596">
      <w:pPr>
        <w:snapToGrid w:val="0"/>
        <w:spacing w:line="360" w:lineRule="auto"/>
        <w:ind w:firstLine="600" w:firstLineChars="250"/>
        <w:contextualSpacing/>
        <w:rPr>
          <w:rFonts w:hint="default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10.学信网及学位申请账号密码</w:t>
      </w:r>
    </w:p>
    <w:p w14:paraId="1B0C6723">
      <w:p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  <w:bookmarkStart w:id="0" w:name="_GoBack"/>
      <w:bookmarkEnd w:id="0"/>
    </w:p>
    <w:p w14:paraId="72968DDD">
      <w:pPr>
        <w:numPr>
          <w:ilvl w:val="0"/>
          <w:numId w:val="1"/>
        </w:num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学业要求</w:t>
      </w:r>
    </w:p>
    <w:p w14:paraId="4CFE5E19">
      <w:pPr>
        <w:numPr>
          <w:ilvl w:val="0"/>
          <w:numId w:val="2"/>
        </w:numPr>
        <w:snapToGrid w:val="0"/>
        <w:spacing w:line="360" w:lineRule="auto"/>
        <w:ind w:firstLine="600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课程学习：</w:t>
      </w:r>
      <w:r>
        <w:rPr>
          <w:rFonts w:ascii="宋体" w:hAnsi="宋体" w:cs="宋体"/>
          <w:sz w:val="24"/>
        </w:rPr>
        <w:t>周末面授+线上学习，学员可根据自身实际情况灵活选择</w:t>
      </w:r>
      <w:r>
        <w:rPr>
          <w:rFonts w:hint="eastAsia" w:asciiTheme="minorEastAsia" w:hAnsiTheme="minorEastAsia" w:eastAsiaTheme="minorEastAsia" w:cstheme="minorEastAsia"/>
          <w:sz w:val="24"/>
        </w:rPr>
        <w:t>。</w:t>
      </w:r>
    </w:p>
    <w:p w14:paraId="4A01F20D">
      <w:pPr>
        <w:numPr>
          <w:ilvl w:val="0"/>
          <w:numId w:val="2"/>
        </w:numPr>
        <w:snapToGrid w:val="0"/>
        <w:spacing w:line="360" w:lineRule="auto"/>
        <w:ind w:firstLine="600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统一考试：申请人在完成学位课程后，必须通过同等学力人员申请硕士学位全国统一考试。</w:t>
      </w:r>
    </w:p>
    <w:p w14:paraId="5CA24FC8">
      <w:pPr>
        <w:numPr>
          <w:ilvl w:val="0"/>
          <w:numId w:val="2"/>
        </w:numPr>
        <w:snapToGrid w:val="0"/>
        <w:spacing w:line="360" w:lineRule="auto"/>
        <w:ind w:firstLine="480" w:firstLineChars="20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论文答辩：申请人通过学位课程全部考试和取得国家统考合格成绩后，通过学位管理部门对学位论文的审核和论文答辩，方可获得硕士学位。</w:t>
      </w:r>
    </w:p>
    <w:p w14:paraId="46E6B507">
      <w:pPr>
        <w:snapToGrid w:val="0"/>
        <w:spacing w:line="360" w:lineRule="auto"/>
        <w:ind w:firstLine="480" w:firstLineChars="20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4、同等学力人员申请硕士学位的有效期为五年，即必须在自报考资格审查通过之日起五年内完成全部学业，逾期则本次申请失效。</w:t>
      </w:r>
    </w:p>
    <w:p w14:paraId="7AB21FA7">
      <w:p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</w:p>
    <w:p w14:paraId="568D3376">
      <w:pPr>
        <w:numPr>
          <w:ilvl w:val="0"/>
          <w:numId w:val="1"/>
        </w:num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收费标准及学制</w:t>
      </w:r>
    </w:p>
    <w:p w14:paraId="1E43597C">
      <w:pPr>
        <w:pStyle w:val="10"/>
        <w:numPr>
          <w:ilvl w:val="0"/>
          <w:numId w:val="3"/>
        </w:numPr>
        <w:snapToGrid w:val="0"/>
        <w:spacing w:line="360" w:lineRule="auto"/>
        <w:ind w:firstLineChars="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按要求缴纳学费1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</w:rPr>
        <w:t>000元/人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13000元学费，5000元课程平台费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论文答辩费20000</w:t>
      </w:r>
      <w:r>
        <w:rPr>
          <w:rFonts w:hint="eastAsia" w:asciiTheme="minorEastAsia" w:hAnsiTheme="minorEastAsia" w:eastAsiaTheme="minorEastAsia" w:cstheme="minorEastAsia"/>
          <w:sz w:val="24"/>
        </w:rPr>
        <w:t>，费用缴纳后，因个人原因不能完成学业，已交费用不退。</w:t>
      </w:r>
    </w:p>
    <w:p w14:paraId="699F923D">
      <w:pPr>
        <w:pStyle w:val="10"/>
        <w:numPr>
          <w:ilvl w:val="0"/>
          <w:numId w:val="3"/>
        </w:numPr>
        <w:snapToGrid w:val="0"/>
        <w:spacing w:line="360" w:lineRule="auto"/>
        <w:ind w:firstLineChars="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学制：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</w:rPr>
        <w:t>年</w:t>
      </w:r>
    </w:p>
    <w:p w14:paraId="07AB56DE">
      <w:p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</w:p>
    <w:p w14:paraId="4B7E9C7C">
      <w:p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sz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EFC908">
    <w:pPr>
      <w:pStyle w:val="4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349875"/>
          <wp:effectExtent l="0" t="0" r="2540" b="3175"/>
          <wp:wrapNone/>
          <wp:docPr id="7" name="WordPictureWatermark25050" descr="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25050" descr="00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34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1FEFA6"/>
    <w:multiLevelType w:val="singleLevel"/>
    <w:tmpl w:val="E11FEFA6"/>
    <w:lvl w:ilvl="0" w:tentative="0">
      <w:start w:val="1"/>
      <w:numFmt w:val="decimal"/>
      <w:suff w:val="nothing"/>
      <w:lvlText w:val="%1、"/>
      <w:lvlJc w:val="left"/>
      <w:rPr>
        <w:rFonts w:asciiTheme="minorEastAsia" w:hAnsiTheme="minorEastAsia" w:eastAsiaTheme="minorEastAsia" w:cstheme="minorEastAsia"/>
      </w:rPr>
    </w:lvl>
  </w:abstractNum>
  <w:abstractNum w:abstractNumId="1">
    <w:nsid w:val="4088809E"/>
    <w:multiLevelType w:val="singleLevel"/>
    <w:tmpl w:val="4088809E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FE90C7B"/>
    <w:multiLevelType w:val="singleLevel"/>
    <w:tmpl w:val="5FE90C7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JkYmYyOGQwNjU2YTFjYjBlYWQzZDdlZjc2Nzk1ZWYifQ=="/>
  </w:docVars>
  <w:rsids>
    <w:rsidRoot w:val="2E654841"/>
    <w:rsid w:val="0003548E"/>
    <w:rsid w:val="000921A9"/>
    <w:rsid w:val="004B330E"/>
    <w:rsid w:val="00850707"/>
    <w:rsid w:val="00CD63AA"/>
    <w:rsid w:val="0369293F"/>
    <w:rsid w:val="056A1C9B"/>
    <w:rsid w:val="06E92857"/>
    <w:rsid w:val="070F37C6"/>
    <w:rsid w:val="07B5778C"/>
    <w:rsid w:val="0B46616F"/>
    <w:rsid w:val="10817C86"/>
    <w:rsid w:val="2351194D"/>
    <w:rsid w:val="25473455"/>
    <w:rsid w:val="29545E09"/>
    <w:rsid w:val="2E654841"/>
    <w:rsid w:val="2E8A1FE3"/>
    <w:rsid w:val="310A5220"/>
    <w:rsid w:val="31642E56"/>
    <w:rsid w:val="33DA14EB"/>
    <w:rsid w:val="34474DD2"/>
    <w:rsid w:val="35781976"/>
    <w:rsid w:val="373E0E9B"/>
    <w:rsid w:val="3DF17B60"/>
    <w:rsid w:val="3F73181C"/>
    <w:rsid w:val="45532D61"/>
    <w:rsid w:val="461B0566"/>
    <w:rsid w:val="48A51D80"/>
    <w:rsid w:val="4AB020E7"/>
    <w:rsid w:val="4CF7498D"/>
    <w:rsid w:val="609E2010"/>
    <w:rsid w:val="69093727"/>
    <w:rsid w:val="769D296C"/>
    <w:rsid w:val="7B8876DD"/>
    <w:rsid w:val="7C5E5DE2"/>
    <w:rsid w:val="7DA705ED"/>
    <w:rsid w:val="7F50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批注框文本 Char"/>
    <w:basedOn w:val="7"/>
    <w:link w:val="2"/>
    <w:qFormat/>
    <w:uiPriority w:val="0"/>
    <w:rPr>
      <w:rFonts w:ascii="Calibri" w:hAnsi="Calibri"/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2000</Words>
  <Characters>2046</Characters>
  <Lines>14</Lines>
  <Paragraphs>4</Paragraphs>
  <TotalTime>2</TotalTime>
  <ScaleCrop>false</ScaleCrop>
  <LinksUpToDate>false</LinksUpToDate>
  <CharactersWithSpaces>2069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2021-06-15T03:08:00Z</dcterms:created>
  <dc:creator>读研MBA-言言</dc:creator>
  <cp:lastModifiedBy>Administrator</cp:lastModifiedBy>
  <dcterms:modified xsi:type="dcterms:W3CDTF">2026-02-24T08:19:52Z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D6F7F9A0D8E74EE19F8BB3CA774F6E44_12</vt:lpwstr>
  </property>
  <property fmtid="{D5CDD505-2E9C-101B-9397-08002B2CF9AE}" pid="4" name="KSOTemplateDocerSaveRecord">
    <vt:lpwstr>eyJoZGlkIjoiNGQ5ODQ5N2Q1NmI0ZDAwYTJiMTcyMmU3ZjhhMWE4NmEifQ==</vt:lpwstr>
  </property>
</Properties>
</file>