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A1789">
      <w:r>
        <w:rPr>
          <w:rFonts w:hint="eastAsia"/>
        </w:rPr>
        <w:t xml:space="preserve">             </w:t>
      </w:r>
      <w:r>
        <w:drawing>
          <wp:inline distT="0" distB="0" distL="114300" distR="114300">
            <wp:extent cx="4848225" cy="1295400"/>
            <wp:effectExtent l="0" t="0" r="9525" b="0"/>
            <wp:docPr id="6" name="图片 6" descr="QQ截图2021061511174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10615111741_副本"/>
                    <pic:cNvPicPr>
                      <a:picLocks noChangeAspect="1"/>
                    </pic:cNvPicPr>
                  </pic:nvPicPr>
                  <pic:blipFill>
                    <a:blip r:embed="rId5" cstate="print"/>
                    <a:stretch>
                      <a:fillRect/>
                    </a:stretch>
                  </pic:blipFill>
                  <pic:spPr>
                    <a:xfrm>
                      <a:off x="0" y="0"/>
                      <a:ext cx="4848225" cy="1295400"/>
                    </a:xfrm>
                    <a:prstGeom prst="rect">
                      <a:avLst/>
                    </a:prstGeom>
                  </pic:spPr>
                </pic:pic>
              </a:graphicData>
            </a:graphic>
          </wp:inline>
        </w:drawing>
      </w:r>
    </w:p>
    <w:p w14:paraId="4E4ED232"/>
    <w:p w14:paraId="16B66685">
      <w:pPr>
        <w:adjustRightInd w:val="0"/>
        <w:snapToGrid w:val="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锦州医科大学口腔医学学科同等学力申硕招生简章</w:t>
      </w:r>
    </w:p>
    <w:p w14:paraId="5D685AD4">
      <w:pPr>
        <w:adjustRightInd w:val="0"/>
        <w:snapToGrid w:val="0"/>
        <w:rPr>
          <w:rFonts w:asciiTheme="minorEastAsia" w:hAnsiTheme="minorEastAsia" w:eastAsiaTheme="minorEastAsia" w:cstheme="minorEastAsia"/>
          <w:b/>
          <w:bCs/>
          <w:sz w:val="44"/>
          <w:szCs w:val="44"/>
        </w:rPr>
      </w:pPr>
    </w:p>
    <w:p w14:paraId="48EFB0C9">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院校及学科简介</w:t>
      </w:r>
    </w:p>
    <w:p w14:paraId="1E587061">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锦州医科大学诞生于解放战争时期，学校前身为1946年在吉林省洮南市成立的辽吉军区卫生学校。1949年迁址辽宁省锦州市，2016年3月，正式更名为锦州医科大学。经过70余年的发展已成为一所以医学为主，多门类、多层次、多种办学形式的省属普通高等院校。学校研究生教育工作始于1979年，先与中国医科大学联合培养硕士研究生，1984年成为全国第二批拥有硕士学位授予权的高等院校之一。</w:t>
      </w:r>
    </w:p>
    <w:p w14:paraId="3F7EE91D">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校1984年成为硕士学位授予权单位，1999年获得具有同等学力人员申请硕士学位授予权资格，现有8个硕士学位授权一级学科，58个二级学科硕士学位授权点，5个硕士专业学位授权点；2003年经教育部批准，与中国医科大学联合培养博士研究生，现与暨南大学、苏州大学、大连医科大学联办博士点，聘任临床医学专业博士生导师21人。坚持“质量立校、学科强校、人才兴校、作风正校、依法治校”的办学理念，秉承“勤俭办学、克难攻坚”的优良传统，为建设特色鲜明的高水平医科大学不懈奋斗。</w:t>
      </w:r>
    </w:p>
    <w:p w14:paraId="669061DE">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随着医学技术的不断更新发展，口腔医学作为一门研究牙齿及其周围口腔颌面部软、硬组织的发生、发育，及其疾病的病因、发病机理、诊断与治疗等的实践性、综合性、交叉性很强的临床医学科学，越发得到当代人的重视。本校现开放了口腔医学专业的同等学力人员申请硕士学位课程班，用以培养更多的口腔医学人才。</w:t>
      </w:r>
    </w:p>
    <w:p w14:paraId="0320AED8">
      <w:pPr>
        <w:snapToGrid w:val="0"/>
        <w:spacing w:line="360" w:lineRule="auto"/>
        <w:contextualSpacing/>
        <w:rPr>
          <w:rFonts w:asciiTheme="minorEastAsia" w:hAnsiTheme="minorEastAsia" w:eastAsiaTheme="minorEastAsia" w:cstheme="minorEastAsia"/>
          <w:b/>
          <w:bCs/>
          <w:sz w:val="24"/>
        </w:rPr>
      </w:pPr>
    </w:p>
    <w:p w14:paraId="3780E006">
      <w:pPr>
        <w:snapToGrid w:val="0"/>
        <w:spacing w:line="360" w:lineRule="auto"/>
        <w:contextualSpacing/>
        <w:rPr>
          <w:rFonts w:asciiTheme="minorEastAsia" w:hAnsiTheme="minorEastAsia" w:eastAsiaTheme="minorEastAsia" w:cstheme="minorEastAsia"/>
          <w:b/>
          <w:bCs/>
          <w:sz w:val="24"/>
        </w:rPr>
      </w:pPr>
    </w:p>
    <w:p w14:paraId="1670456F">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培养目标</w:t>
      </w:r>
    </w:p>
    <w:p w14:paraId="3151AFDC">
      <w:p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学科专业主要通过学习和掌握扎实的口腔医学基础理论和技能，培养具有高职业素养、了解本学科专业现状和发展动态以及研究方向，同时具有广博的社会科学与自然科学知识，具备从事一定医学研究能力的，能从事口腔医疗工作的技术熟练品德高尚且拥有创新潜能的高层次口腔医学应用型人才。</w:t>
      </w:r>
    </w:p>
    <w:p w14:paraId="1AE05D60">
      <w:pPr>
        <w:snapToGrid w:val="0"/>
        <w:spacing w:line="360" w:lineRule="auto"/>
        <w:contextualSpacing/>
        <w:rPr>
          <w:rFonts w:asciiTheme="minorEastAsia" w:hAnsiTheme="minorEastAsia" w:eastAsiaTheme="minorEastAsia" w:cstheme="minorEastAsia"/>
          <w:b/>
          <w:bCs/>
          <w:sz w:val="24"/>
        </w:rPr>
      </w:pPr>
    </w:p>
    <w:p w14:paraId="1F13B5AA">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培养优势</w:t>
      </w:r>
    </w:p>
    <w:p w14:paraId="256622A3">
      <w:pPr>
        <w:widowControl/>
        <w:spacing w:line="360" w:lineRule="auto"/>
        <w:ind w:firstLine="482" w:firstLineChars="200"/>
        <w:contextualSpacing/>
        <w:jc w:val="left"/>
        <w:rPr>
          <w:rFonts w:ascii="Times New Roman" w:hAnsi="Times New Roman"/>
        </w:rPr>
      </w:pPr>
      <w:r>
        <w:rPr>
          <w:rFonts w:hint="eastAsia" w:asciiTheme="minorEastAsia" w:hAnsiTheme="minorEastAsia" w:eastAsiaTheme="minorEastAsia" w:cstheme="minorEastAsia"/>
          <w:b/>
          <w:bCs/>
          <w:sz w:val="24"/>
        </w:rPr>
        <w:t>1、免试入学：</w:t>
      </w:r>
      <w:r>
        <w:rPr>
          <w:rFonts w:hint="eastAsia" w:asciiTheme="minorEastAsia" w:hAnsiTheme="minorEastAsia" w:eastAsiaTheme="minorEastAsia" w:cstheme="minorEastAsia"/>
          <w:sz w:val="24"/>
        </w:rPr>
        <w:t>大学本科学历获得学士学位，并获得学士学位后工作三年以上社会人士即可报名参加，先学习再考试，有足够充分的准备和学习课程的时间；</w:t>
      </w:r>
    </w:p>
    <w:p w14:paraId="4760BCDD">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2、专业优势:</w:t>
      </w:r>
      <w:r>
        <w:rPr>
          <w:rFonts w:hint="eastAsia" w:asciiTheme="minorEastAsia" w:hAnsiTheme="minorEastAsia" w:eastAsiaTheme="minorEastAsia" w:cstheme="minorEastAsia"/>
          <w:sz w:val="24"/>
        </w:rPr>
        <w:t>学校1999年获得具有同等学力人员申请硕士学位授予权资格，现有8个硕士学位授权一级学科，58个二级学科硕士学位授权点，5个硕士专业学位授权点；</w:t>
      </w:r>
    </w:p>
    <w:p w14:paraId="3AAD949A">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3、师资队伍：</w:t>
      </w:r>
      <w:r>
        <w:rPr>
          <w:rFonts w:hint="eastAsia" w:asciiTheme="minorEastAsia" w:hAnsiTheme="minorEastAsia" w:eastAsiaTheme="minorEastAsia" w:cstheme="minorEastAsia"/>
          <w:sz w:val="24"/>
        </w:rPr>
        <w:t>学校师资丰厚，与中国医科大学联合培养博士研究生，有国家级高层次人才、国家教学名师奖获得者、教育部高等学校教学指导委员会委员等等；</w:t>
      </w:r>
    </w:p>
    <w:p w14:paraId="207EC4D0">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4、国际合作：</w:t>
      </w:r>
      <w:r>
        <w:rPr>
          <w:rFonts w:hint="eastAsia" w:asciiTheme="minorEastAsia" w:hAnsiTheme="minorEastAsia" w:eastAsiaTheme="minorEastAsia" w:cstheme="minorEastAsia"/>
          <w:sz w:val="24"/>
        </w:rPr>
        <w:t>学校顺应国际医学教育发展趋势，与美国夏威夷、英国亚伯大学、北非突尼斯等等国家都有交流活动，加深学生联合培养、教师互访、科学研究等方面开展实质性合作交流互动；</w:t>
      </w:r>
    </w:p>
    <w:p w14:paraId="479F01FE">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5、科研优势：</w:t>
      </w:r>
      <w:r>
        <w:rPr>
          <w:rFonts w:hint="eastAsia" w:asciiTheme="minorEastAsia" w:hAnsiTheme="minorEastAsia" w:eastAsiaTheme="minorEastAsia" w:cstheme="minorEastAsia"/>
          <w:sz w:val="24"/>
        </w:rPr>
        <w:t>学校科研工作起步较早，承担的“稻田皮炎的病因和防治研究”项目在全国科学大会上获重大贡献奖，有全国“地甲病”和“地克病”研究中心等等；</w:t>
      </w:r>
    </w:p>
    <w:p w14:paraId="02F02BD7">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6、社会服务：</w:t>
      </w:r>
      <w:r>
        <w:rPr>
          <w:rFonts w:hint="eastAsia" w:asciiTheme="minorEastAsia" w:hAnsiTheme="minorEastAsia" w:eastAsiaTheme="minorEastAsia" w:cstheme="minorEastAsia"/>
          <w:sz w:val="24"/>
        </w:rPr>
        <w:t>学校高度重视党的建设和思想政治工作，注重加强社会主义核心价值观教育和精神文明建设，先后获得“全国五四红旗团委”“中国民主同盟先进集体”“中国民主同盟先进基层组织”等荣誉称号。</w:t>
      </w:r>
    </w:p>
    <w:p w14:paraId="09DBFCE3">
      <w:pPr>
        <w:snapToGrid w:val="0"/>
        <w:spacing w:line="360" w:lineRule="auto"/>
        <w:contextualSpacing/>
        <w:rPr>
          <w:rFonts w:asciiTheme="minorEastAsia" w:hAnsiTheme="minorEastAsia" w:eastAsiaTheme="minorEastAsia" w:cstheme="minorEastAsia"/>
          <w:b/>
          <w:bCs/>
          <w:sz w:val="24"/>
        </w:rPr>
      </w:pPr>
    </w:p>
    <w:p w14:paraId="2698B858">
      <w:pPr>
        <w:snapToGrid w:val="0"/>
        <w:spacing w:line="360" w:lineRule="auto"/>
        <w:contextualSpacing/>
        <w:rPr>
          <w:rFonts w:asciiTheme="minorEastAsia" w:hAnsiTheme="minorEastAsia" w:eastAsiaTheme="minorEastAsia" w:cstheme="minorEastAsia"/>
          <w:b/>
          <w:bCs/>
          <w:sz w:val="24"/>
        </w:rPr>
      </w:pPr>
    </w:p>
    <w:p w14:paraId="2088EB55">
      <w:pPr>
        <w:snapToGrid w:val="0"/>
        <w:spacing w:line="360" w:lineRule="auto"/>
        <w:contextualSpacing/>
        <w:rPr>
          <w:rFonts w:asciiTheme="minorEastAsia" w:hAnsiTheme="minorEastAsia" w:eastAsiaTheme="minorEastAsia" w:cstheme="minorEastAsia"/>
          <w:b/>
          <w:bCs/>
          <w:sz w:val="24"/>
        </w:rPr>
      </w:pPr>
    </w:p>
    <w:p w14:paraId="7E66E964">
      <w:pPr>
        <w:snapToGrid w:val="0"/>
        <w:spacing w:line="360" w:lineRule="auto"/>
        <w:contextualSpacing/>
        <w:rPr>
          <w:rFonts w:asciiTheme="minorEastAsia" w:hAnsiTheme="minorEastAsia" w:eastAsiaTheme="minorEastAsia" w:cstheme="minorEastAsia"/>
          <w:b/>
          <w:bCs/>
          <w:sz w:val="24"/>
        </w:rPr>
      </w:pPr>
    </w:p>
    <w:p w14:paraId="4FE2BC53">
      <w:pPr>
        <w:snapToGrid w:val="0"/>
        <w:spacing w:line="360" w:lineRule="auto"/>
        <w:contextualSpacing/>
        <w:rPr>
          <w:rFonts w:hint="eastAsia" w:asciiTheme="minorEastAsia" w:hAnsiTheme="minorEastAsia" w:eastAsiaTheme="minorEastAsia" w:cstheme="minorEastAsia"/>
          <w:b/>
          <w:bCs/>
          <w:sz w:val="24"/>
        </w:rPr>
      </w:pPr>
    </w:p>
    <w:p w14:paraId="09BAFC43">
      <w:pPr>
        <w:snapToGrid w:val="0"/>
        <w:spacing w:line="360" w:lineRule="auto"/>
        <w:contextualSpacing/>
        <w:rPr>
          <w:rFonts w:asciiTheme="minorEastAsia" w:hAnsiTheme="minorEastAsia" w:eastAsiaTheme="minorEastAsia" w:cstheme="minorEastAsia"/>
          <w:b/>
          <w:bCs/>
          <w:sz w:val="24"/>
        </w:rPr>
      </w:pPr>
    </w:p>
    <w:p w14:paraId="6FBB66F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学科专业</w:t>
      </w:r>
    </w:p>
    <w:p w14:paraId="64F55E9B">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1、专业：口腔临床医学</w:t>
      </w:r>
    </w:p>
    <w:p w14:paraId="7D96C2A9">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2、全国统考科目：英语</w:t>
      </w:r>
    </w:p>
    <w:p w14:paraId="574B7FA8">
      <w:pPr>
        <w:snapToGrid w:val="0"/>
        <w:spacing w:line="360" w:lineRule="auto"/>
        <w:contextualSpacing/>
        <w:rPr>
          <w:rFonts w:asciiTheme="minorEastAsia" w:hAnsiTheme="minorEastAsia" w:eastAsiaTheme="minorEastAsia" w:cstheme="minorEastAsia"/>
          <w:b/>
          <w:bCs/>
          <w:sz w:val="24"/>
        </w:rPr>
      </w:pPr>
    </w:p>
    <w:p w14:paraId="5D3282EA">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报考条件</w:t>
      </w:r>
    </w:p>
    <w:p w14:paraId="7EC2657A">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1、拥护中国共产党的领导，遵纪守法、品德优良。</w:t>
      </w:r>
    </w:p>
    <w:p w14:paraId="4B7DFA4C">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2、经本人所在工作单位同意，在申请学位的专业或相近专业做出成绩，为本单位业务骨干；身体健康，能坚持完成学业。</w:t>
      </w:r>
    </w:p>
    <w:p w14:paraId="042FBBDE">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3、申请人必须获得学士学位并在获得学士学位后工作三年以上，或者虽无学士学位但已获得硕士或博士学位。</w:t>
      </w:r>
    </w:p>
    <w:p w14:paraId="7A22DDB5">
      <w:pPr>
        <w:snapToGrid w:val="0"/>
        <w:spacing w:line="360" w:lineRule="auto"/>
        <w:ind w:firstLine="600" w:firstLineChars="250"/>
        <w:contextualSpacing/>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4、第一外语为英语</w:t>
      </w:r>
    </w:p>
    <w:p w14:paraId="3DA3ADCD">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val="0"/>
          <w:bCs w:val="0"/>
          <w:sz w:val="24"/>
          <w:lang w:val="en-US" w:eastAsia="zh-CN"/>
        </w:rPr>
        <w:t>5</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申请学术学位的申请人还需满足下列条件之一：</w:t>
      </w:r>
    </w:p>
    <w:p w14:paraId="2B5EBF8F">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（1）获得中级或以上职称；</w:t>
      </w:r>
    </w:p>
    <w:p w14:paraId="75465CC0">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（2）主持或参与获得教学、科研、管理的项目或成果；</w:t>
      </w:r>
    </w:p>
    <w:p w14:paraId="3C68A55F">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（3）以第一作者/通讯作者在国内公开发行的杂志期刊中发表或出版与申请专业相关/相近的文章或专著；</w:t>
      </w:r>
    </w:p>
    <w:p w14:paraId="5D964607">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（4）申请人授权专利项目（排序前8名）；</w:t>
      </w:r>
    </w:p>
    <w:p w14:paraId="0C354446">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（5）申请人获得本单位及以上有关专门技术比赛的奖项或荣誉称号。</w:t>
      </w:r>
    </w:p>
    <w:p w14:paraId="0D00BE72">
      <w:pPr>
        <w:tabs>
          <w:tab w:val="left" w:pos="722"/>
        </w:tabs>
        <w:snapToGrid w:val="0"/>
        <w:spacing w:line="360" w:lineRule="auto"/>
        <w:contextualSpacing/>
        <w:rPr>
          <w:rFonts w:hint="eastAsia" w:asciiTheme="minorEastAsia" w:hAnsiTheme="minorEastAsia" w:eastAsiaTheme="minorEastAsia" w:cstheme="minorEastAsia"/>
          <w:b/>
          <w:bCs/>
          <w:sz w:val="24"/>
          <w:lang w:eastAsia="zh-CN"/>
        </w:rPr>
      </w:pPr>
    </w:p>
    <w:p w14:paraId="78EF3C76">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报名材料</w:t>
      </w:r>
    </w:p>
    <w:p w14:paraId="4951C643">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1.二代居民身份证</w:t>
      </w:r>
    </w:p>
    <w:p w14:paraId="50C72EA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2.本科毕业证</w:t>
      </w:r>
    </w:p>
    <w:p w14:paraId="4FB4A52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3.教育部学历证书电子注册备案表（6个月有效期内）</w:t>
      </w:r>
    </w:p>
    <w:p w14:paraId="7CA1ECE0">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4.学士学位证书</w:t>
      </w:r>
    </w:p>
    <w:p w14:paraId="0310DB36">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5.中国高等教育</w:t>
      </w:r>
      <w:bookmarkStart w:id="0" w:name="_GoBack"/>
      <w:bookmarkEnd w:id="0"/>
      <w:r>
        <w:rPr>
          <w:rFonts w:hint="eastAsia" w:asciiTheme="minorEastAsia" w:hAnsiTheme="minorEastAsia" w:eastAsiaTheme="minorEastAsia" w:cstheme="minorEastAsia"/>
          <w:sz w:val="24"/>
          <w:lang w:val="en-US" w:eastAsia="zh-CN"/>
        </w:rPr>
        <w:t>学位在线验证报告（6个月内有效期）</w:t>
      </w:r>
    </w:p>
    <w:p w14:paraId="066D44C9">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6.锦州医科大学以研究生毕业同等学力申请学术型硕士学位登记表</w:t>
      </w:r>
    </w:p>
    <w:p w14:paraId="167B468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7.锦州医科大学以研究生毕业同等学力入学知情同意书</w:t>
      </w:r>
    </w:p>
    <w:p w14:paraId="790F365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8.申请学术型硕士学位个人情况表</w:t>
      </w:r>
    </w:p>
    <w:p w14:paraId="7821E8A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9.蓝底照</w:t>
      </w:r>
    </w:p>
    <w:p w14:paraId="6886B596">
      <w:pPr>
        <w:snapToGrid w:val="0"/>
        <w:spacing w:line="360" w:lineRule="auto"/>
        <w:ind w:firstLine="600" w:firstLineChars="250"/>
        <w:contextualSpacing/>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10.学信网及学位申请账号密码</w:t>
      </w:r>
    </w:p>
    <w:p w14:paraId="1A1BB2A8">
      <w:pPr>
        <w:snapToGrid w:val="0"/>
        <w:spacing w:line="360" w:lineRule="auto"/>
        <w:ind w:firstLine="600" w:firstLineChars="250"/>
        <w:contextualSpacing/>
        <w:rPr>
          <w:rFonts w:asciiTheme="minorEastAsia" w:hAnsiTheme="minorEastAsia" w:eastAsiaTheme="minorEastAsia" w:cstheme="minorEastAsia"/>
          <w:sz w:val="24"/>
        </w:rPr>
      </w:pPr>
    </w:p>
    <w:p w14:paraId="1F284630">
      <w:pPr>
        <w:snapToGrid w:val="0"/>
        <w:spacing w:line="360" w:lineRule="auto"/>
        <w:contextualSpacing/>
        <w:rPr>
          <w:rFonts w:asciiTheme="minorEastAsia" w:hAnsiTheme="minorEastAsia" w:eastAsiaTheme="minorEastAsia" w:cstheme="minorEastAsia"/>
          <w:b/>
          <w:bCs/>
          <w:sz w:val="24"/>
        </w:rPr>
      </w:pPr>
    </w:p>
    <w:p w14:paraId="3C607860">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学业要求</w:t>
      </w:r>
    </w:p>
    <w:p w14:paraId="10E5FF26">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课程学习：</w:t>
      </w:r>
      <w:r>
        <w:rPr>
          <w:rFonts w:ascii="宋体" w:hAnsi="宋体" w:cs="宋体"/>
          <w:sz w:val="24"/>
        </w:rPr>
        <w:t>周末面授+线上学习，学员可根据自身实际情况灵活选择</w:t>
      </w:r>
      <w:r>
        <w:rPr>
          <w:rFonts w:hint="eastAsia" w:asciiTheme="minorEastAsia" w:hAnsiTheme="minorEastAsia" w:eastAsiaTheme="minorEastAsia" w:cstheme="minorEastAsia"/>
          <w:sz w:val="24"/>
        </w:rPr>
        <w:t>。</w:t>
      </w:r>
    </w:p>
    <w:p w14:paraId="1FB1BE8C">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统一考试：申请人在完成学位课程后，必须通过同等学力人员申请硕士学位全国统一考试。</w:t>
      </w:r>
    </w:p>
    <w:p w14:paraId="7C83F026">
      <w:pPr>
        <w:numPr>
          <w:ilvl w:val="0"/>
          <w:numId w:val="2"/>
        </w:num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论文答辩：申请人通过学位课程全部考试和取得国家统考合格成绩后，通过学位管理部门对学位论文的审核和论文答辩，方可获得硕士学位。</w:t>
      </w:r>
    </w:p>
    <w:p w14:paraId="3FD51701">
      <w:pPr>
        <w:snapToGrid w:val="0"/>
        <w:spacing w:line="360" w:lineRule="auto"/>
        <w:ind w:firstLine="480" w:firstLineChars="200"/>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4、同等学力人员申请硕士学位的有效期为五年，即必须在自报考资格审查通过之日起五年内完成全部学业，逾期则本次申请失效。</w:t>
      </w:r>
    </w:p>
    <w:p w14:paraId="2C018B26">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收费标准及学制</w:t>
      </w:r>
    </w:p>
    <w:p w14:paraId="1E43597C">
      <w:pPr>
        <w:pStyle w:val="10"/>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按要求缴纳学费1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000元/人</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13000元学费，5000元课程平台费</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论文答辩费20000</w:t>
      </w:r>
      <w:r>
        <w:rPr>
          <w:rFonts w:hint="eastAsia" w:asciiTheme="minorEastAsia" w:hAnsiTheme="minorEastAsia" w:eastAsiaTheme="minorEastAsia" w:cstheme="minorEastAsia"/>
          <w:sz w:val="24"/>
        </w:rPr>
        <w:t>，费用缴纳后，因个人原因不能完成学业，已交费用不退。</w:t>
      </w:r>
    </w:p>
    <w:p w14:paraId="699F923D">
      <w:pPr>
        <w:pStyle w:val="10"/>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学制：</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年</w:t>
      </w:r>
    </w:p>
    <w:p w14:paraId="3D60AE4B">
      <w:pPr>
        <w:snapToGrid w:val="0"/>
        <w:spacing w:line="360" w:lineRule="auto"/>
        <w:contextualSpacing/>
        <w:rPr>
          <w:rFonts w:asciiTheme="minorEastAsia" w:hAnsiTheme="minorEastAsia" w:eastAsiaTheme="minorEastAsia" w:cstheme="minorEastAsia"/>
          <w:b/>
          <w:bCs/>
          <w:sz w:val="24"/>
        </w:rPr>
      </w:pPr>
    </w:p>
    <w:p w14:paraId="6190054E">
      <w:pPr>
        <w:adjustRightInd w:val="0"/>
        <w:snapToGrid w:val="0"/>
        <w:spacing w:line="360" w:lineRule="auto"/>
        <w:rPr>
          <w:rFonts w:asciiTheme="minorEastAsia" w:hAnsiTheme="minorEastAsia" w:eastAsiaTheme="minorEastAsia" w:cstheme="minorEastAsia"/>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64E32">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49875"/>
          <wp:effectExtent l="0" t="0" r="2540" b="3175"/>
          <wp:wrapNone/>
          <wp:docPr id="7" name="WordPictureWatermark25050"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5050" descr="00"/>
                  <pic:cNvPicPr>
                    <a:picLocks noChangeAspect="1"/>
                  </pic:cNvPicPr>
                </pic:nvPicPr>
                <pic:blipFill>
                  <a:blip r:embed="rId1">
                    <a:lum bright="69998" contrast="-70001"/>
                  </a:blip>
                  <a:stretch>
                    <a:fillRect/>
                  </a:stretch>
                </pic:blipFill>
                <pic:spPr>
                  <a:xfrm>
                    <a:off x="0" y="0"/>
                    <a:ext cx="5274310" cy="53498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FEFA6"/>
    <w:multiLevelType w:val="singleLevel"/>
    <w:tmpl w:val="E11FEFA6"/>
    <w:lvl w:ilvl="0" w:tentative="0">
      <w:start w:val="1"/>
      <w:numFmt w:val="decimal"/>
      <w:suff w:val="nothing"/>
      <w:lvlText w:val="%1、"/>
      <w:lvlJc w:val="left"/>
      <w:rPr>
        <w:rFonts w:asciiTheme="minorEastAsia" w:hAnsiTheme="minorEastAsia" w:eastAsiaTheme="minorEastAsia" w:cstheme="minorEastAsia"/>
      </w:rPr>
    </w:lvl>
  </w:abstractNum>
  <w:abstractNum w:abstractNumId="1">
    <w:nsid w:val="4088809E"/>
    <w:multiLevelType w:val="singleLevel"/>
    <w:tmpl w:val="4088809E"/>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JkYmYyOGQwNjU2YTFjYjBlYWQzZDdlZjc2Nzk1ZWYifQ=="/>
  </w:docVars>
  <w:rsids>
    <w:rsidRoot w:val="2E654841"/>
    <w:rsid w:val="00737FA0"/>
    <w:rsid w:val="008E0A61"/>
    <w:rsid w:val="00F03B1C"/>
    <w:rsid w:val="06E92857"/>
    <w:rsid w:val="0B46616F"/>
    <w:rsid w:val="2E654841"/>
    <w:rsid w:val="2E8A1FE3"/>
    <w:rsid w:val="310A5220"/>
    <w:rsid w:val="31642E56"/>
    <w:rsid w:val="3DF17B60"/>
    <w:rsid w:val="3F73181C"/>
    <w:rsid w:val="45532D61"/>
    <w:rsid w:val="4AB020E7"/>
    <w:rsid w:val="55410CE9"/>
    <w:rsid w:val="5E311CD0"/>
    <w:rsid w:val="62842DBA"/>
    <w:rsid w:val="66852CFD"/>
    <w:rsid w:val="69093727"/>
    <w:rsid w:val="71EF3681"/>
    <w:rsid w:val="7B8C1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character" w:customStyle="1" w:styleId="9">
    <w:name w:val="批注框文本 Char"/>
    <w:basedOn w:val="7"/>
    <w:link w:val="2"/>
    <w:qFormat/>
    <w:uiPriority w:val="0"/>
    <w:rPr>
      <w:rFonts w:ascii="Calibri" w:hAnsi="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1829</Words>
  <Characters>1875</Characters>
  <Lines>12</Lines>
  <Paragraphs>3</Paragraphs>
  <TotalTime>0</TotalTime>
  <ScaleCrop>false</ScaleCrop>
  <LinksUpToDate>false</LinksUpToDate>
  <CharactersWithSpaces>1888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2021-06-15T03:08:00Z</dcterms:created>
  <dc:creator>读研MBA-言言</dc:creator>
  <cp:lastModifiedBy>Administrator</cp:lastModifiedBy>
  <dcterms:modified xsi:type="dcterms:W3CDTF">2026-02-24T08:15:01Z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2ECDD667484A45E6A377719352268B1D_12</vt:lpwstr>
  </property>
  <property fmtid="{D5CDD505-2E9C-101B-9397-08002B2CF9AE}" pid="4" name="KSOTemplateDocerSaveRecord">
    <vt:lpwstr>eyJoZGlkIjoiNGQ5ODQ5N2Q1NmI0ZDAwYTJiMTcyMmU3ZjhhMWE4NmEifQ==</vt:lpwstr>
  </property>
</Properties>
</file>