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1"/>
        <w:snapToGrid w:val="false"/>
        <w:spacing w:lineRule="exact" w:line="500" w:before="0" w:after="100"/>
        <w:ind w:hangingChars="600" w:startChars="0" w:start="0" w:endChars="0" w:end="0"/>
        <w:rPr>
          <w:rFonts w:hint="eastAsia"/>
          <w:b/>
          <w:sz w:val="21"/>
          <w:szCs w:val="21"/>
          <w:lang w:val="zh-CN" w:eastAsia="zh-CN"/>
        </w:rPr>
      </w:pPr>
      <w:r>
        <w:drawing>
          <wp:anchor distT="0" distB="0" distL="114935" distR="114935" simplePos="0" relativeHeight="6" behindDoc="0" locked="0" layoutInCell="1" allowOverlap="1">
            <wp:simplePos x="0" y="0"/>
            <wp:positionH relativeFrom="column">
              <wp:posOffset>790575</wp:posOffset>
            </wp:positionH>
            <wp:positionV relativeFrom="paragraph">
              <wp:posOffset>-152400</wp:posOffset>
            </wp:positionV>
            <wp:extent cx="3457575" cy="107632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
                    <a:srcRect l="-5" t="-17" r="-5" b="-17"/>
                    <a:stretch>
                      <a:fillRect/>
                    </a:stretch>
                  </pic:blipFill>
                  <pic:spPr bwMode="auto">
                    <a:xfrm>
                      <a:off x="0" y="0"/>
                      <a:ext cx="3457575" cy="1076325"/>
                    </a:xfrm>
                    <a:prstGeom prst="rect">
                      <a:avLst/>
                    </a:prstGeom>
                    <a:noFill/>
                  </pic:spPr>
                </pic:pic>
              </a:graphicData>
            </a:graphic>
          </wp:anchor>
        </w:drawing>
      </w:r>
      <w:r>
        <w:rPr>
          <w:b/>
          <w:sz w:val="21"/>
          <w:szCs w:val="21"/>
        </w:rPr>
        <w:t>　</w:t>
      </w:r>
    </w:p>
    <w:p>
      <w:pPr>
        <w:pStyle w:val="Style21"/>
        <w:snapToGrid w:val="false"/>
        <w:spacing w:lineRule="exact" w:line="500" w:before="100" w:after="100"/>
        <w:ind w:hangingChars="600" w:startChars="0" w:start="0" w:endChars="0" w:end="0"/>
        <w:contextualSpacing/>
        <w:rPr>
          <w:rFonts w:hint="eastAsia"/>
          <w:b/>
          <w:sz w:val="21"/>
          <w:szCs w:val="21"/>
          <w:lang w:val="zh-CN" w:eastAsia="zh-CN"/>
        </w:rPr>
      </w:pPr>
      <w:r>
        <w:rPr>
          <w:rFonts w:hint="eastAsia"/>
          <w:b/>
          <w:sz w:val="21"/>
          <w:szCs w:val="21"/>
          <w:lang w:val="zh-CN" w:eastAsia="zh-CN"/>
        </w:rPr>
      </w:r>
    </w:p>
    <w:p>
      <w:pPr>
        <w:pStyle w:val="Style21"/>
        <w:tabs>
          <w:tab w:val="clear" w:pos="420"/>
          <w:tab w:val="left" w:pos="7530" w:leader="none"/>
        </w:tabs>
        <w:snapToGrid w:val="false"/>
        <w:spacing w:lineRule="exact" w:line="500" w:before="100" w:after="100"/>
        <w:ind w:hangingChars="600" w:startChars="0" w:start="0" w:endChars="0" w:end="0"/>
        <w:contextualSpacing/>
        <w:rPr>
          <w:rFonts w:hint="eastAsia"/>
          <w:b/>
          <w:sz w:val="21"/>
          <w:szCs w:val="21"/>
          <w:lang w:val="zh-CN" w:eastAsia="zh-CN"/>
        </w:rPr>
      </w:pPr>
      <w:r>
        <w:rPr>
          <w:b/>
          <w:sz w:val="21"/>
          <w:szCs w:val="21"/>
          <w:lang w:val="zh-CN" w:eastAsia="zh-CN"/>
        </w:rPr>
        <w:tab/>
      </w:r>
    </w:p>
    <w:p>
      <w:pPr>
        <w:pStyle w:val="Style21"/>
        <w:spacing w:lineRule="exact" w:line="500" w:before="100" w:after="100"/>
        <w:ind w:hangingChars="800" w:startChars="300" w:endChars="0" w:end="0"/>
        <w:contextualSpacing/>
        <w:jc w:val="center"/>
        <w:rPr>
          <w:b/>
          <w:sz w:val="30"/>
          <w:szCs w:val="30"/>
        </w:rPr>
      </w:pPr>
      <w:r>
        <w:rPr>
          <w:rFonts w:hint="eastAsia"/>
          <w:b/>
          <w:sz w:val="30"/>
          <w:szCs w:val="30"/>
        </w:rPr>
        <w:t>2026</w:t>
      </w:r>
      <w:r>
        <w:rPr>
          <w:b/>
          <w:sz w:val="30"/>
          <w:szCs w:val="30"/>
        </w:rPr>
        <w:t>年中国人民大学</w:t>
      </w:r>
      <w:r>
        <w:rPr>
          <w:rFonts w:hint="eastAsia"/>
          <w:b/>
          <w:sz w:val="30"/>
          <w:szCs w:val="30"/>
        </w:rPr>
        <w:t>金融学</w:t>
      </w:r>
      <w:r>
        <w:rPr>
          <w:b/>
          <w:sz w:val="30"/>
          <w:szCs w:val="30"/>
        </w:rPr>
        <w:t>专业在职课程培训班</w:t>
      </w:r>
      <w:r>
        <w:rPr>
          <w:rFonts w:hint="eastAsia"/>
          <w:b/>
          <w:sz w:val="30"/>
          <w:szCs w:val="30"/>
        </w:rPr>
        <w:t>招生简章</w:t>
      </w:r>
    </w:p>
    <w:p>
      <w:pPr>
        <w:pStyle w:val="Style21"/>
        <w:spacing w:lineRule="exact" w:line="500" w:before="100" w:after="100"/>
        <w:contextualSpacing/>
        <w:rPr>
          <w:sz w:val="21"/>
          <w:szCs w:val="21"/>
        </w:rPr>
      </w:pPr>
      <w:r>
        <mc:AlternateContent>
          <mc:Choice Requires="wps">
            <w:drawing>
              <wp:anchor distT="0" distB="0" distL="114935" distR="114935" simplePos="0" relativeHeight="5" behindDoc="0" locked="0" layoutInCell="1" allowOverlap="1">
                <wp:simplePos x="0" y="0"/>
                <wp:positionH relativeFrom="column">
                  <wp:posOffset>9525</wp:posOffset>
                </wp:positionH>
                <wp:positionV relativeFrom="paragraph">
                  <wp:posOffset>203200</wp:posOffset>
                </wp:positionV>
                <wp:extent cx="5477510" cy="1270"/>
                <wp:effectExtent l="635" t="3175" r="635" b="3175"/>
                <wp:wrapNone/>
                <wp:docPr id="2" name="自选图形 6"/>
                <a:graphic xmlns:a="http://schemas.openxmlformats.org/drawingml/2006/main">
                  <a:graphicData uri="http://schemas.microsoft.com/office/word/2010/wordprocessingShape">
                    <wps:wsp>
                      <wps:cNvCnPr/>
                      <wps:spPr>
                        <a:xfrm>
                          <a:off x="0" y="0"/>
                          <a:ext cx="5478120" cy="1800"/>
                        </a:xfrm>
                        <a:prstGeom prst="straightConnector1">
                          <a:avLst/>
                        </a:prstGeom>
                        <a:ln w="6480">
                          <a:solidFill>
                            <a:srgbClr val="C00000"/>
                          </a:solidFill>
                          <a:miter/>
                        </a:ln>
                      </wps:spPr>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f" style="position:absolute;margin-left:0.75pt;margin-top:16pt;width:431.3pt;height:0.1pt" type="_x0000_t32">
                <v:stroke color="#c00000" weight="6480" joinstyle="miter" endcap="flat"/>
                <v:fill o:detectmouseclick="t" on="false"/>
                <w10:wrap type="none"/>
              </v:shape>
            </w:pict>
          </mc:Fallback>
        </mc:AlternateContent>
      </w:r>
      <w:r>
        <w:rPr>
          <w:sz w:val="21"/>
          <w:szCs w:val="21"/>
        </w:rPr>
        <w:t>　　</w:t>
      </w:r>
    </w:p>
    <w:p>
      <w:pPr>
        <w:pStyle w:val="Style21"/>
        <w:spacing w:lineRule="exact" w:line="500" w:before="100" w:after="100"/>
        <w:contextualSpacing/>
        <w:rPr>
          <w:sz w:val="21"/>
          <w:szCs w:val="21"/>
        </w:rPr>
      </w:pPr>
      <w:r>
        <w:rPr>
          <w:sz w:val="21"/>
          <w:szCs w:val="21"/>
        </w:rPr>
        <w:t>培训类别：</w:t>
      </w:r>
      <w:r>
        <w:rPr>
          <w:color w:val="C00000"/>
          <w:sz w:val="21"/>
          <w:szCs w:val="21"/>
        </w:rPr>
        <w:t>课程班</w:t>
      </w:r>
      <w:r>
        <w:rPr>
          <w:color w:val="C00000"/>
          <w:sz w:val="21"/>
          <w:szCs w:val="21"/>
        </w:rPr>
        <w:t>[</w:t>
      </w:r>
      <w:r>
        <w:rPr>
          <w:rFonts w:hint="eastAsia"/>
          <w:color w:val="C00000"/>
          <w:sz w:val="21"/>
          <w:szCs w:val="21"/>
        </w:rPr>
        <w:t>经济</w:t>
      </w:r>
      <w:r>
        <w:rPr>
          <w:color w:val="C00000"/>
          <w:sz w:val="21"/>
          <w:szCs w:val="21"/>
        </w:rPr>
        <w:t>]</w:t>
      </w:r>
      <w:r>
        <w:rPr>
          <w:sz w:val="21"/>
          <w:szCs w:val="21"/>
        </w:rPr>
        <w:t xml:space="preserve">      </w:t>
      </w:r>
      <w:r>
        <w:rPr>
          <w:sz w:val="21"/>
          <w:szCs w:val="21"/>
        </w:rPr>
        <w:t>培训费：</w:t>
      </w:r>
      <w:r>
        <w:rPr>
          <w:rFonts w:hint="eastAsia"/>
          <w:color w:val="C00000"/>
          <w:sz w:val="21"/>
          <w:szCs w:val="21"/>
        </w:rPr>
        <w:t>420</w:t>
      </w:r>
      <w:r>
        <w:rPr>
          <w:color w:val="C00000"/>
          <w:sz w:val="21"/>
          <w:szCs w:val="21"/>
        </w:rPr>
        <w:t>00.00</w:t>
      </w:r>
      <w:r>
        <w:rPr>
          <w:color w:val="C00000"/>
          <w:sz w:val="21"/>
          <w:szCs w:val="21"/>
        </w:rPr>
        <w:t xml:space="preserve">元 </w:t>
      </w:r>
      <w:r>
        <w:rPr>
          <w:sz w:val="21"/>
          <w:szCs w:val="21"/>
        </w:rPr>
        <w:t xml:space="preserve">    主办单位：</w:t>
      </w:r>
      <w:r>
        <w:rPr>
          <w:rFonts w:hint="eastAsia"/>
          <w:color w:val="C00000"/>
          <w:sz w:val="21"/>
          <w:szCs w:val="21"/>
        </w:rPr>
        <w:t>财政金融</w:t>
      </w:r>
      <w:r>
        <w:rPr>
          <w:color w:val="C00000"/>
          <w:sz w:val="21"/>
          <w:szCs w:val="21"/>
        </w:rPr>
        <w:t>学院</w:t>
      </w:r>
    </w:p>
    <w:p>
      <w:pPr>
        <w:pStyle w:val="Normal"/>
        <w:spacing w:lineRule="exact" w:line="500"/>
        <w:ind w:firstLineChars="200" w:startChars="0" w:start="0" w:endChars="0" w:end="0"/>
        <w:rPr>
          <w:rFonts w:ascii="宋体;SimSun" w:hAnsi="宋体;SimSun" w:cs="宋体;SimSun"/>
          <w:szCs w:val="21"/>
        </w:rPr>
      </w:pPr>
      <w:r>
        <w:rPr>
          <w:rFonts w:ascii="宋体;SimSun" w:hAnsi="宋体;SimSun" w:cs="宋体;SimSun" w:hint="eastAsia"/>
          <w:szCs w:val="21"/>
        </w:rPr>
        <w:t>中国人民大学是一所以人文社会科学为主的综合性研究型全国重点大学。学校是国家“</w:t>
      </w:r>
      <w:r>
        <w:rPr>
          <w:rFonts w:cs="宋体;SimSun" w:hint="eastAsia" w:ascii="宋体;SimSun" w:hAnsi="宋体;SimSun"/>
          <w:szCs w:val="21"/>
        </w:rPr>
        <w:t>985</w:t>
      </w:r>
      <w:r>
        <w:rPr>
          <w:rFonts w:ascii="宋体;SimSun" w:hAnsi="宋体;SimSun" w:cs="宋体;SimSun" w:hint="eastAsia"/>
          <w:szCs w:val="21"/>
        </w:rPr>
        <w:t>工程”和“</w:t>
      </w:r>
      <w:r>
        <w:rPr>
          <w:rFonts w:cs="宋体;SimSun" w:hint="eastAsia" w:ascii="宋体;SimSun" w:hAnsi="宋体;SimSun"/>
          <w:szCs w:val="21"/>
        </w:rPr>
        <w:t>211</w:t>
      </w:r>
      <w:r>
        <w:rPr>
          <w:rFonts w:ascii="宋体;SimSun" w:hAnsi="宋体;SimSun" w:cs="宋体;SimSun" w:hint="eastAsia"/>
          <w:szCs w:val="21"/>
        </w:rPr>
        <w:t>工程”重点建设的大学之一，在长期办学实践中成绩显著被誉为“我国人文社会科学高等教育领域的一面旗帜”。</w:t>
      </w:r>
    </w:p>
    <w:p>
      <w:pPr>
        <w:pStyle w:val="Style21"/>
        <w:spacing w:lineRule="exact" w:line="500" w:before="100" w:after="100"/>
        <w:contextualSpacing/>
        <w:rPr>
          <w:b/>
          <w:color w:val="C00000"/>
          <w:sz w:val="21"/>
          <w:szCs w:val="21"/>
        </w:rPr>
      </w:pPr>
      <w:r>
        <w:rPr>
          <w:b/>
          <w:color w:val="C00000"/>
          <w:sz w:val="21"/>
          <w:szCs w:val="21"/>
        </w:rPr>
        <w:t>一、学院及专业优势简介</w:t>
      </w:r>
    </w:p>
    <w:p>
      <w:pPr>
        <w:pStyle w:val="Style21"/>
        <w:spacing w:lineRule="exact" w:line="500" w:before="100" w:after="100"/>
        <w:ind w:firstLineChars="200" w:startChars="0" w:start="0" w:endChars="0" w:end="0"/>
        <w:contextualSpacing/>
        <w:rPr>
          <w:sz w:val="21"/>
          <w:szCs w:val="21"/>
        </w:rPr>
      </w:pPr>
      <w:r>
        <w:rPr>
          <w:sz w:val="21"/>
          <w:szCs w:val="21"/>
        </w:rPr>
        <w:t>财政金融学院始建于</w:t>
      </w:r>
      <w:r>
        <w:rPr>
          <w:sz w:val="21"/>
          <w:szCs w:val="21"/>
        </w:rPr>
        <w:t>1950</w:t>
      </w:r>
      <w:r>
        <w:rPr>
          <w:sz w:val="21"/>
          <w:szCs w:val="21"/>
        </w:rPr>
        <w:t>年，经过</w:t>
      </w:r>
      <w:r>
        <w:rPr>
          <w:sz w:val="21"/>
          <w:szCs w:val="21"/>
        </w:rPr>
        <w:t>70</w:t>
      </w:r>
      <w:r>
        <w:rPr>
          <w:sz w:val="21"/>
          <w:szCs w:val="21"/>
        </w:rPr>
        <w:t>余年的积淀与发展，已成为国内财政金融领域的教学科研重镇、中国财政金融高等人才的培养基地。</w:t>
      </w:r>
    </w:p>
    <w:p>
      <w:pPr>
        <w:pStyle w:val="Style21"/>
        <w:spacing w:lineRule="exact" w:line="500" w:before="100" w:after="100"/>
        <w:ind w:firstLineChars="200" w:startChars="0" w:start="0" w:endChars="0" w:end="0"/>
        <w:contextualSpacing/>
        <w:rPr>
          <w:sz w:val="21"/>
          <w:szCs w:val="21"/>
        </w:rPr>
      </w:pPr>
      <w:r>
        <w:rPr>
          <w:sz w:val="21"/>
          <w:szCs w:val="21"/>
        </w:rPr>
        <w:t>金融学专业</w:t>
      </w:r>
      <w:r>
        <w:rPr>
          <w:sz w:val="21"/>
          <w:szCs w:val="21"/>
        </w:rPr>
        <w:t>(</w:t>
      </w:r>
      <w:r>
        <w:rPr>
          <w:sz w:val="21"/>
          <w:szCs w:val="21"/>
        </w:rPr>
        <w:t>前身为货币银行学专业</w:t>
      </w:r>
      <w:r>
        <w:rPr>
          <w:sz w:val="21"/>
          <w:szCs w:val="21"/>
        </w:rPr>
        <w:t>)</w:t>
      </w:r>
      <w:r>
        <w:rPr>
          <w:sz w:val="21"/>
          <w:szCs w:val="21"/>
        </w:rPr>
        <w:t>涵盖现代金融学的宏微观领域，包括货币理论与政策、商业银行体系运行与管理、金融市场理论与实践、公司金融理论以及金融工程和数理金融等，培养目标是造就具有现代金融理论水平、具备独立研究能力、能够胜任金融企业经营与管理、金融理论研究与金融教学工作的高层次金融人才。</w:t>
      </w:r>
    </w:p>
    <w:p>
      <w:pPr>
        <w:pStyle w:val="Style21"/>
        <w:spacing w:lineRule="exact" w:line="500" w:before="100" w:after="100"/>
        <w:ind w:firstLineChars="200" w:startChars="0" w:start="0" w:endChars="0" w:end="0"/>
        <w:contextualSpacing/>
        <w:rPr>
          <w:sz w:val="21"/>
          <w:szCs w:val="21"/>
        </w:rPr>
      </w:pPr>
      <w:r>
        <w:rPr>
          <w:sz w:val="21"/>
          <w:szCs w:val="21"/>
        </w:rPr>
        <w:t>金融学专业是我国金融学科第一批硕士和博士点</w:t>
      </w:r>
      <w:r>
        <w:rPr>
          <w:sz w:val="21"/>
          <w:szCs w:val="21"/>
        </w:rPr>
        <w:t>(1981)</w:t>
      </w:r>
      <w:r>
        <w:rPr>
          <w:sz w:val="21"/>
          <w:szCs w:val="21"/>
        </w:rPr>
        <w:t>，</w:t>
      </w:r>
      <w:r>
        <w:rPr>
          <w:sz w:val="21"/>
          <w:szCs w:val="21"/>
        </w:rPr>
        <w:t>1988</w:t>
      </w:r>
      <w:r>
        <w:rPr>
          <w:sz w:val="21"/>
          <w:szCs w:val="21"/>
        </w:rPr>
        <w:t>年被评为全国高等学校重点学科，在教育部历次学科评估中全国排名第一。</w:t>
      </w:r>
    </w:p>
    <w:p>
      <w:pPr>
        <w:pStyle w:val="Style21"/>
        <w:spacing w:lineRule="exact" w:line="500" w:before="100" w:after="100"/>
        <w:contextualSpacing/>
        <w:rPr>
          <w:rFonts w:hint="eastAsia"/>
          <w:kern w:val="2"/>
          <w:sz w:val="21"/>
          <w:szCs w:val="21"/>
        </w:rPr>
      </w:pPr>
      <w:r>
        <w:rPr>
          <w:rFonts w:hint="eastAsia"/>
          <w:kern w:val="2"/>
          <w:sz w:val="21"/>
          <w:szCs w:val="21"/>
        </w:rPr>
      </w:r>
    </w:p>
    <w:p>
      <w:pPr>
        <w:pStyle w:val="Style21"/>
        <w:spacing w:lineRule="exact" w:line="500" w:before="100" w:after="100"/>
        <w:contextualSpacing/>
        <w:rPr>
          <w:b/>
          <w:color w:val="C00000"/>
          <w:sz w:val="21"/>
          <w:szCs w:val="21"/>
        </w:rPr>
      </w:pPr>
      <w:r>
        <w:rPr>
          <w:b/>
          <w:color w:val="C00000"/>
          <w:sz w:val="21"/>
          <w:szCs w:val="21"/>
        </w:rPr>
        <w:t>二、培养目标</w:t>
      </w:r>
    </w:p>
    <w:p>
      <w:pPr>
        <w:pStyle w:val="Style21"/>
        <w:spacing w:lineRule="exact" w:line="500" w:before="100" w:after="100"/>
        <w:ind w:firstLine="420" w:end="0"/>
        <w:contextualSpacing/>
        <w:rPr>
          <w:rFonts w:hint="eastAsia"/>
          <w:sz w:val="21"/>
          <w:szCs w:val="21"/>
        </w:rPr>
      </w:pPr>
      <w:r>
        <w:rPr>
          <w:rFonts w:hint="eastAsia"/>
          <w:sz w:val="21"/>
          <w:szCs w:val="21"/>
        </w:rPr>
        <w:t>本专业主要通过学习和掌握扎实的经济理论基础及金融专业知识，系统的掌握经济学、管理学、金融学等相关理论，培养具有国际视野和社会责任感，具有创新创业精神和实践动手能力，系统掌握金融学理论和大数据背景下实践能力的，培养能适应社会金融机构、监督管理部门和政府金融相关部门等从事金融科技、投资管理、分析研究等相关业务的复合型应用型金融专业的人才。</w:t>
      </w:r>
    </w:p>
    <w:p>
      <w:pPr>
        <w:pStyle w:val="Style21"/>
        <w:spacing w:lineRule="exact" w:line="500" w:before="100" w:after="100"/>
        <w:ind w:firstLine="420" w:end="0"/>
        <w:contextualSpacing/>
        <w:rPr>
          <w:sz w:val="21"/>
          <w:szCs w:val="21"/>
        </w:rPr>
      </w:pPr>
      <w:r>
        <w:rPr>
          <w:rFonts w:hint="eastAsia"/>
          <w:sz w:val="21"/>
          <w:szCs w:val="21"/>
        </w:rPr>
      </w:r>
    </w:p>
    <w:p>
      <w:pPr>
        <w:pStyle w:val="Style21"/>
        <w:spacing w:lineRule="exact" w:line="500" w:before="100" w:after="100"/>
        <w:contextualSpacing/>
        <w:rPr>
          <w:rFonts w:hint="eastAsia"/>
          <w:b/>
          <w:color w:val="C00000"/>
          <w:sz w:val="21"/>
          <w:szCs w:val="21"/>
        </w:rPr>
      </w:pPr>
      <w:r>
        <w:rPr>
          <w:rFonts w:hint="eastAsia"/>
          <w:b/>
          <w:color w:val="C00000"/>
          <w:sz w:val="21"/>
          <w:szCs w:val="21"/>
        </w:rPr>
        <w:t>三、课程安排</w:t>
      </w:r>
    </w:p>
    <w:tbl>
      <w:tblPr>
        <w:tblW w:w="8521" w:type="dxa"/>
        <w:jc w:val="start"/>
        <w:tblInd w:w="0" w:type="dxa"/>
        <w:tblLayout w:type="fixed"/>
        <w:tblCellMar>
          <w:top w:w="0" w:type="dxa"/>
          <w:start w:w="108" w:type="dxa"/>
          <w:bottom w:w="0" w:type="dxa"/>
          <w:end w:w="108" w:type="dxa"/>
        </w:tblCellMar>
      </w:tblPr>
      <w:tblGrid>
        <w:gridCol w:w="1389"/>
        <w:gridCol w:w="3660"/>
        <w:gridCol w:w="3472"/>
      </w:tblGrid>
      <w:tr>
        <w:trPr>
          <w:trHeight w:val="567" w:hRule="atLeast"/>
        </w:trPr>
        <w:tc>
          <w:tcPr>
            <w:tcW w:w="8521" w:type="dxa"/>
            <w:gridSpan w:val="3"/>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Cs/>
                <w:color w:val="000000"/>
                <w:sz w:val="21"/>
                <w:szCs w:val="21"/>
                <w:lang w:bidi="ar"/>
              </w:rPr>
              <w:t>金融学专业课程设置</w:t>
            </w:r>
          </w:p>
        </w:tc>
      </w:tr>
      <w:tr>
        <w:trPr>
          <w:trHeight w:val="567" w:hRule="atLeast"/>
        </w:trPr>
        <w:tc>
          <w:tcPr>
            <w:tcW w:w="1389" w:type="dxa"/>
            <w:vMerge w:val="restart"/>
            <w:tcBorders>
              <w:top w:val="single" w:sz="4" w:space="0" w:color="000000"/>
              <w:start w:val="single" w:sz="4" w:space="0" w:color="000000"/>
              <w:bottom w:val="single" w:sz="4" w:space="0" w:color="000000"/>
              <w:end w:val="single" w:sz="4" w:space="0" w:color="000000"/>
            </w:tcBorders>
          </w:tcPr>
          <w:p>
            <w:pPr>
              <w:pStyle w:val="Heading6"/>
              <w:widowControl/>
              <w:snapToGrid w:val="false"/>
              <w:spacing w:before="225" w:after="75"/>
              <w:ind w:hanging="0" w:start="0"/>
              <w:jc w:val="center"/>
              <w:rPr>
                <w:rFonts w:hint="eastAsia"/>
              </w:rPr>
            </w:pPr>
            <w:r>
              <w:rPr>
                <w:rFonts w:cs="微软雅黑" w:hint="eastAsia"/>
                <w:b w:val="false"/>
                <w:color w:val="000000"/>
                <w:sz w:val="21"/>
                <w:szCs w:val="21"/>
                <w:lang w:bidi="ar"/>
              </w:rPr>
            </w:r>
          </w:p>
          <w:p>
            <w:pPr>
              <w:pStyle w:val="Normal"/>
              <w:rPr>
                <w:rFonts w:cs="微软雅黑" w:hint="eastAsia"/>
                <w:color w:val="000000"/>
                <w:szCs w:val="21"/>
                <w:lang w:bidi="ar"/>
              </w:rPr>
            </w:pPr>
            <w:r>
              <w:rPr>
                <w:rFonts w:cs="微软雅黑" w:hint="eastAsia"/>
                <w:color w:val="000000"/>
                <w:szCs w:val="21"/>
                <w:lang w:bidi="ar"/>
              </w:rPr>
            </w:r>
          </w:p>
          <w:p>
            <w:pPr>
              <w:pStyle w:val="Normal"/>
              <w:rPr>
                <w:rFonts w:cs="微软雅黑" w:hint="eastAsia"/>
                <w:color w:val="000000"/>
                <w:szCs w:val="21"/>
                <w:lang w:bidi="ar"/>
              </w:rPr>
            </w:pPr>
            <w:r>
              <w:rPr>
                <w:rFonts w:cs="微软雅黑" w:hint="eastAsia"/>
                <w:color w:val="000000"/>
                <w:szCs w:val="21"/>
                <w:lang w:bidi="ar"/>
              </w:rPr>
            </w:r>
          </w:p>
          <w:p>
            <w:pPr>
              <w:pStyle w:val="Normal"/>
              <w:rPr>
                <w:rFonts w:cs="微软雅黑"/>
                <w:color w:val="000000"/>
                <w:szCs w:val="21"/>
                <w:lang w:bidi="ar"/>
              </w:rPr>
            </w:pPr>
            <w:r>
              <w:rPr>
                <w:rFonts w:cs="微软雅黑" w:hint="eastAsia"/>
                <w:color w:val="000000"/>
                <w:szCs w:val="21"/>
                <w:lang w:bidi="ar"/>
              </w:rPr>
              <w:t xml:space="preserve">   </w:t>
            </w:r>
            <w:r>
              <w:rPr>
                <w:rFonts w:cs="微软雅黑" w:hint="eastAsia"/>
                <w:b/>
                <w:bCs/>
                <w:color w:val="000000"/>
                <w:szCs w:val="21"/>
                <w:lang w:bidi="ar"/>
              </w:rPr>
              <w:t>基础课</w:t>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 w:val="false"/>
                <w:color w:val="000000"/>
                <w:sz w:val="21"/>
                <w:szCs w:val="21"/>
                <w:lang w:bidi="ar"/>
              </w:rPr>
            </w:pPr>
            <w:r>
              <w:rPr>
                <w:rFonts w:ascii="Calibri" w:hAnsi="Calibri" w:cs="Calibri" w:hint="eastAsia"/>
                <w:b w:val="false"/>
                <w:bCs/>
                <w:kern w:val="2"/>
                <w:sz w:val="21"/>
                <w:szCs w:val="21"/>
              </w:rPr>
              <w:t>新时代中国特色社会主义理论与实践</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马克思主义与社会科学方法论</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社会主义经济理论</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数理统计与大数据应用</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《资本论》选读</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语言基础（英语）</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 w:val="false"/>
                <w:color w:val="000000"/>
                <w:sz w:val="21"/>
                <w:szCs w:val="21"/>
                <w:lang w:bidi="ar"/>
              </w:rPr>
            </w:pPr>
            <w:r>
              <w:rPr>
                <w:rFonts w:ascii="Calibri" w:hAnsi="Calibri" w:cs="Calibri" w:hint="eastAsia"/>
                <w:b w:val="false"/>
                <w:bCs/>
                <w:kern w:val="2"/>
                <w:sz w:val="21"/>
                <w:szCs w:val="21"/>
              </w:rPr>
              <w:t>西方经济学</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学术规范与论文写作</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国际经济学</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napToGrid w:val="false"/>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r>
          </w:p>
        </w:tc>
      </w:tr>
      <w:tr>
        <w:trPr>
          <w:trHeight w:val="567" w:hRule="atLeast"/>
        </w:trPr>
        <w:tc>
          <w:tcPr>
            <w:tcW w:w="1389" w:type="dxa"/>
            <w:vMerge w:val="restart"/>
            <w:tcBorders>
              <w:top w:val="single" w:sz="4" w:space="0" w:color="000000"/>
              <w:start w:val="single" w:sz="4" w:space="0" w:color="000000"/>
              <w:bottom w:val="single" w:sz="4" w:space="0" w:color="000000"/>
              <w:end w:val="single" w:sz="4" w:space="0" w:color="000000"/>
            </w:tcBorders>
          </w:tcPr>
          <w:p>
            <w:pPr>
              <w:pStyle w:val="Heading6"/>
              <w:widowControl/>
              <w:snapToGrid w:val="false"/>
              <w:spacing w:before="225" w:after="75"/>
              <w:ind w:hanging="0" w:start="0"/>
              <w:jc w:val="center"/>
              <w:rPr/>
            </w:pPr>
            <w:r>
              <w:rPr>
                <w:rFonts w:cs="微软雅黑" w:hint="eastAsia"/>
                <w:b w:val="false"/>
                <w:color w:val="000000"/>
                <w:sz w:val="21"/>
                <w:szCs w:val="21"/>
                <w:lang w:bidi="ar"/>
              </w:rPr>
            </w:r>
          </w:p>
          <w:p>
            <w:pPr>
              <w:pStyle w:val="Normal"/>
              <w:rPr>
                <w:rFonts w:cs="微软雅黑"/>
                <w:color w:val="000000"/>
                <w:szCs w:val="21"/>
                <w:lang w:bidi="ar"/>
              </w:rPr>
            </w:pPr>
            <w:r>
              <w:rPr>
                <w:rFonts w:cs="微软雅黑"/>
                <w:color w:val="000000"/>
                <w:szCs w:val="21"/>
                <w:lang w:bidi="ar"/>
              </w:rPr>
            </w:r>
          </w:p>
          <w:p>
            <w:pPr>
              <w:pStyle w:val="Normal"/>
              <w:rPr>
                <w:rFonts w:cs="微软雅黑"/>
                <w:color w:val="000000"/>
                <w:szCs w:val="21"/>
                <w:lang w:bidi="ar"/>
              </w:rPr>
            </w:pPr>
            <w:r>
              <w:rPr>
                <w:rFonts w:cs="微软雅黑" w:hint="eastAsia"/>
                <w:color w:val="000000"/>
                <w:szCs w:val="21"/>
                <w:lang w:bidi="ar"/>
              </w:rPr>
              <w:t xml:space="preserve">   </w:t>
            </w:r>
            <w:r>
              <w:rPr>
                <w:rFonts w:cs="微软雅黑" w:hint="eastAsia"/>
                <w:b/>
                <w:bCs/>
                <w:color w:val="000000"/>
                <w:szCs w:val="21"/>
                <w:lang w:bidi="ar"/>
              </w:rPr>
              <w:t>专业课</w:t>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货币银行学</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财政经济学</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公司财务</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投资学</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金融政策与监管</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商业银行管理</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私募股权投资</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国际金融与外汇投资</w:t>
            </w:r>
          </w:p>
        </w:tc>
      </w:tr>
    </w:tbl>
    <w:p>
      <w:pPr>
        <w:pStyle w:val="Style21"/>
        <w:spacing w:lineRule="exact" w:line="500" w:before="100" w:after="100"/>
        <w:ind w:firstLineChars="1300" w:startChars="0" w:start="0" w:endChars="0" w:end="0"/>
        <w:contextualSpacing/>
        <w:rPr>
          <w:rFonts w:hint="eastAsia"/>
          <w:sz w:val="21"/>
          <w:szCs w:val="21"/>
        </w:rPr>
      </w:pPr>
      <w:r>
        <w:rPr>
          <w:rFonts w:hint="eastAsia"/>
          <w:sz w:val="21"/>
          <w:szCs w:val="21"/>
        </w:rPr>
        <w:t>注：具体课程参照实际教学</w:t>
      </w:r>
    </w:p>
    <w:p>
      <w:pPr>
        <w:pStyle w:val="Style21"/>
        <w:spacing w:lineRule="exact" w:line="500" w:before="100" w:after="100"/>
        <w:ind w:firstLineChars="1300" w:startChars="0" w:start="0" w:endChars="0" w:end="0"/>
        <w:contextualSpacing/>
        <w:rPr>
          <w:rFonts w:hint="eastAsia"/>
          <w:sz w:val="21"/>
          <w:szCs w:val="21"/>
        </w:rPr>
      </w:pPr>
      <w:r>
        <w:rPr>
          <w:rFonts w:hint="eastAsia"/>
          <w:sz w:val="21"/>
          <w:szCs w:val="21"/>
        </w:rPr>
      </w:r>
    </w:p>
    <w:p>
      <w:pPr>
        <w:pStyle w:val="Style21"/>
        <w:spacing w:lineRule="exact" w:line="500" w:before="100" w:after="100"/>
        <w:contextualSpacing/>
        <w:rPr>
          <w:b/>
          <w:color w:val="C00000"/>
          <w:sz w:val="21"/>
          <w:szCs w:val="21"/>
        </w:rPr>
      </w:pPr>
      <w:r>
        <w:rPr>
          <w:b/>
          <w:color w:val="C00000"/>
          <w:sz w:val="21"/>
          <w:szCs w:val="21"/>
        </w:rPr>
        <w:t>四、</w:t>
      </w:r>
      <w:r>
        <w:rPr>
          <w:rFonts w:hint="eastAsia"/>
          <w:b/>
          <w:color w:val="C00000"/>
          <w:sz w:val="21"/>
          <w:szCs w:val="21"/>
        </w:rPr>
        <w:t>培养方式</w:t>
      </w:r>
    </w:p>
    <w:p>
      <w:pPr>
        <w:pStyle w:val="Style21"/>
        <w:spacing w:lineRule="atLeast" w:line="450" w:before="0" w:after="0"/>
        <w:ind w:firstLineChars="100" w:startChars="0" w:start="0" w:endChars="0" w:end="0"/>
        <w:rPr>
          <w:rFonts w:hint="eastAsia"/>
          <w:sz w:val="21"/>
          <w:szCs w:val="21"/>
        </w:rPr>
      </w:pPr>
      <w:r>
        <w:rPr>
          <w:rFonts w:hint="eastAsia"/>
          <w:sz w:val="21"/>
          <w:szCs w:val="21"/>
        </w:rPr>
        <w:t>本课程采用面授</w:t>
      </w:r>
      <w:r>
        <w:rPr>
          <w:rFonts w:hint="eastAsia"/>
          <w:sz w:val="21"/>
          <w:szCs w:val="21"/>
        </w:rPr>
        <w:t>/</w:t>
      </w:r>
      <w:r>
        <w:rPr>
          <w:rFonts w:hint="eastAsia"/>
          <w:sz w:val="21"/>
          <w:szCs w:val="21"/>
        </w:rPr>
        <w:t>网络直播教学方式，每个月集中</w:t>
      </w:r>
      <w:r>
        <w:rPr>
          <w:rFonts w:hint="eastAsia"/>
          <w:sz w:val="21"/>
          <w:szCs w:val="21"/>
        </w:rPr>
        <w:t>1-2</w:t>
      </w:r>
      <w:r>
        <w:rPr>
          <w:rFonts w:hint="eastAsia"/>
          <w:sz w:val="21"/>
          <w:szCs w:val="21"/>
        </w:rPr>
        <w:t>个周末上课学习。</w:t>
      </w:r>
    </w:p>
    <w:p>
      <w:pPr>
        <w:pStyle w:val="Style21"/>
        <w:spacing w:lineRule="atLeast" w:line="450" w:before="0" w:after="0"/>
        <w:rPr>
          <w:rFonts w:hint="eastAsia"/>
          <w:sz w:val="21"/>
          <w:szCs w:val="21"/>
        </w:rPr>
      </w:pPr>
      <w:r>
        <w:rPr>
          <w:rFonts w:hint="eastAsia"/>
          <w:sz w:val="21"/>
          <w:szCs w:val="21"/>
        </w:rPr>
      </w:r>
    </w:p>
    <w:p>
      <w:pPr>
        <w:pStyle w:val="Style21"/>
        <w:spacing w:lineRule="exact" w:line="500" w:before="100" w:after="100"/>
        <w:contextualSpacing/>
        <w:rPr>
          <w:b/>
          <w:color w:val="C00000"/>
          <w:sz w:val="21"/>
          <w:szCs w:val="21"/>
        </w:rPr>
      </w:pPr>
      <w:r>
        <w:rPr>
          <w:b/>
          <w:color w:val="C00000"/>
          <w:sz w:val="21"/>
          <w:szCs w:val="21"/>
        </w:rPr>
        <w:t>五、学习期限</w:t>
      </w:r>
    </w:p>
    <w:p>
      <w:pPr>
        <w:pStyle w:val="Style21"/>
        <w:spacing w:lineRule="exact" w:line="500" w:before="100" w:after="100"/>
        <w:ind w:firstLineChars="200" w:startChars="0" w:start="0" w:endChars="0" w:end="0"/>
        <w:contextualSpacing/>
        <w:rPr>
          <w:sz w:val="21"/>
          <w:szCs w:val="21"/>
        </w:rPr>
      </w:pPr>
      <w:r>
        <w:rPr>
          <w:rFonts w:hint="eastAsia"/>
          <w:sz w:val="21"/>
          <w:szCs w:val="21"/>
        </w:rPr>
        <w:t>拟定</w:t>
      </w:r>
      <w:r>
        <w:rPr>
          <w:sz w:val="21"/>
          <w:szCs w:val="21"/>
        </w:rPr>
        <w:t>2026</w:t>
      </w:r>
      <w:r>
        <w:rPr>
          <w:sz w:val="21"/>
          <w:szCs w:val="21"/>
        </w:rPr>
        <w:t>年</w:t>
      </w:r>
      <w:r>
        <w:rPr>
          <w:sz w:val="21"/>
          <w:szCs w:val="21"/>
        </w:rPr>
        <w:t>9</w:t>
      </w:r>
      <w:r>
        <w:rPr>
          <w:sz w:val="21"/>
          <w:szCs w:val="21"/>
        </w:rPr>
        <w:t>月</w:t>
      </w:r>
      <w:r>
        <w:rPr>
          <w:sz w:val="21"/>
          <w:szCs w:val="21"/>
        </w:rPr>
        <w:t>6</w:t>
      </w:r>
      <w:r>
        <w:rPr>
          <w:sz w:val="21"/>
          <w:szCs w:val="21"/>
        </w:rPr>
        <w:t>日—</w:t>
      </w:r>
      <w:r>
        <w:rPr>
          <w:sz w:val="21"/>
          <w:szCs w:val="21"/>
        </w:rPr>
        <w:t>2026</w:t>
      </w:r>
      <w:r>
        <w:rPr>
          <w:sz w:val="21"/>
          <w:szCs w:val="21"/>
        </w:rPr>
        <w:t>年</w:t>
      </w:r>
      <w:r>
        <w:rPr>
          <w:sz w:val="21"/>
          <w:szCs w:val="21"/>
        </w:rPr>
        <w:t>12</w:t>
      </w:r>
      <w:r>
        <w:rPr>
          <w:sz w:val="21"/>
          <w:szCs w:val="21"/>
        </w:rPr>
        <w:t>月</w:t>
      </w:r>
      <w:r>
        <w:rPr>
          <w:sz w:val="21"/>
          <w:szCs w:val="21"/>
        </w:rPr>
        <w:t>1</w:t>
      </w:r>
      <w:r>
        <w:rPr>
          <w:sz w:val="21"/>
          <w:szCs w:val="21"/>
        </w:rPr>
        <w:t>日</w:t>
      </w:r>
    </w:p>
    <w:p>
      <w:pPr>
        <w:pStyle w:val="Style21"/>
        <w:spacing w:lineRule="exact" w:line="500" w:before="100" w:after="100"/>
        <w:ind w:firstLineChars="200" w:startChars="0" w:start="0" w:endChars="0" w:end="0"/>
        <w:contextualSpacing/>
        <w:rPr>
          <w:rFonts w:hint="eastAsia"/>
          <w:sz w:val="21"/>
          <w:szCs w:val="21"/>
        </w:rPr>
      </w:pPr>
      <w:r>
        <w:rPr>
          <w:rFonts w:hint="eastAsia"/>
          <w:sz w:val="21"/>
          <w:szCs w:val="21"/>
        </w:rPr>
      </w:r>
    </w:p>
    <w:p>
      <w:pPr>
        <w:pStyle w:val="Style21"/>
        <w:spacing w:lineRule="exact" w:line="500" w:before="100" w:after="100"/>
        <w:contextualSpacing/>
        <w:rPr>
          <w:sz w:val="21"/>
          <w:szCs w:val="21"/>
        </w:rPr>
      </w:pPr>
      <w:r>
        <w:rPr>
          <w:b/>
          <w:color w:val="C00000"/>
          <w:sz w:val="21"/>
          <w:szCs w:val="21"/>
        </w:rPr>
        <w:t>六、报名条件</w:t>
      </w:r>
    </w:p>
    <w:p>
      <w:pPr>
        <w:pStyle w:val="Style21"/>
        <w:spacing w:lineRule="exact" w:line="500" w:before="100" w:after="100"/>
        <w:ind w:firstLineChars="200" w:startChars="0" w:start="0" w:endChars="0" w:end="0"/>
        <w:contextualSpacing/>
        <w:rPr>
          <w:rFonts w:hint="eastAsia"/>
          <w:sz w:val="21"/>
          <w:szCs w:val="21"/>
        </w:rPr>
      </w:pPr>
      <w:r>
        <w:rPr>
          <w:rFonts w:hint="eastAsia"/>
          <w:sz w:val="21"/>
          <w:szCs w:val="21"/>
        </w:rPr>
        <w:t>1</w:t>
      </w:r>
      <w:r>
        <w:rPr>
          <w:rFonts w:hint="eastAsia"/>
          <w:sz w:val="21"/>
          <w:szCs w:val="21"/>
        </w:rPr>
        <w:t>、拥护《中华人民共和国宪法》，遵守法律、法规，能坚持在职学习者；</w:t>
      </w:r>
    </w:p>
    <w:p>
      <w:pPr>
        <w:pStyle w:val="Style21"/>
        <w:spacing w:lineRule="exact" w:line="500" w:before="100" w:after="100"/>
        <w:ind w:firstLineChars="200" w:startChars="0" w:start="0" w:endChars="0" w:end="0"/>
        <w:contextualSpacing/>
        <w:rPr>
          <w:rFonts w:hint="eastAsia"/>
          <w:sz w:val="21"/>
          <w:szCs w:val="21"/>
        </w:rPr>
      </w:pPr>
      <w:r>
        <w:rPr>
          <w:rFonts w:hint="eastAsia"/>
          <w:sz w:val="21"/>
          <w:szCs w:val="21"/>
        </w:rPr>
        <w:t>2</w:t>
      </w:r>
      <w:r>
        <w:rPr>
          <w:rFonts w:hint="eastAsia"/>
          <w:sz w:val="21"/>
          <w:szCs w:val="21"/>
        </w:rPr>
        <w:t>、大学本科毕业，并获得学士学位满三年，已获得硕士及以上学位者无年限要求；</w:t>
      </w:r>
    </w:p>
    <w:p>
      <w:pPr>
        <w:pStyle w:val="Style21"/>
        <w:spacing w:lineRule="exact" w:line="500" w:before="100" w:after="100"/>
        <w:ind w:firstLineChars="200" w:startChars="0" w:start="0" w:endChars="0" w:end="0"/>
        <w:contextualSpacing/>
        <w:rPr>
          <w:rFonts w:hint="eastAsia"/>
          <w:sz w:val="21"/>
          <w:szCs w:val="21"/>
        </w:rPr>
      </w:pPr>
      <w:r>
        <w:rPr>
          <w:rFonts w:hint="eastAsia"/>
          <w:sz w:val="21"/>
          <w:szCs w:val="21"/>
        </w:rPr>
        <w:t>3</w:t>
      </w:r>
      <w:r>
        <w:rPr>
          <w:rFonts w:hint="eastAsia"/>
          <w:sz w:val="21"/>
          <w:szCs w:val="21"/>
        </w:rPr>
        <w:t>、大专学历者，参加课程班课程的学习，可获得结业证书。</w:t>
      </w:r>
    </w:p>
    <w:p>
      <w:pPr>
        <w:pStyle w:val="Style21"/>
        <w:spacing w:lineRule="exact" w:line="500" w:before="100" w:after="100"/>
        <w:ind w:firstLineChars="200" w:startChars="0" w:start="0" w:endChars="0" w:end="0"/>
        <w:contextualSpacing/>
        <w:rPr>
          <w:rFonts w:hint="eastAsia"/>
          <w:sz w:val="21"/>
          <w:szCs w:val="21"/>
        </w:rPr>
      </w:pPr>
      <w:r>
        <w:rPr>
          <w:rFonts w:hint="eastAsia"/>
          <w:sz w:val="21"/>
          <w:szCs w:val="21"/>
        </w:rPr>
      </w:r>
    </w:p>
    <w:p>
      <w:pPr>
        <w:pStyle w:val="Style21"/>
        <w:numPr>
          <w:ilvl w:val="0"/>
          <w:numId w:val="2"/>
        </w:numPr>
        <w:spacing w:lineRule="exact" w:line="500" w:before="100" w:after="280"/>
        <w:rPr>
          <w:rFonts w:hint="eastAsia"/>
          <w:b/>
          <w:color w:val="C00000"/>
          <w:sz w:val="21"/>
          <w:szCs w:val="21"/>
        </w:rPr>
      </w:pPr>
      <w:r>
        <w:rPr>
          <w:rFonts w:hint="eastAsia"/>
          <w:b/>
          <w:color w:val="C00000"/>
          <w:sz w:val="21"/>
          <w:szCs w:val="21"/>
        </w:rPr>
        <w:t>报名材料</w:t>
      </w:r>
    </w:p>
    <w:p>
      <w:pPr>
        <w:pStyle w:val="Style21"/>
        <w:spacing w:lineRule="exact" w:line="500" w:before="100" w:after="100"/>
        <w:ind w:firstLineChars="200" w:startChars="0" w:start="0" w:endChars="0" w:end="0"/>
        <w:contextualSpacing/>
        <w:rPr>
          <w:rFonts w:hint="eastAsia"/>
          <w:sz w:val="21"/>
          <w:szCs w:val="21"/>
        </w:rPr>
      </w:pPr>
      <w:r>
        <w:rPr>
          <w:rFonts w:hint="eastAsia"/>
          <w:sz w:val="21"/>
          <w:szCs w:val="21"/>
        </w:rPr>
        <w:t>1</w:t>
      </w:r>
      <w:r>
        <w:rPr>
          <w:rFonts w:hint="eastAsia"/>
          <w:sz w:val="21"/>
          <w:szCs w:val="21"/>
        </w:rPr>
        <w:t>、在职人员课程培训班报名登记表</w:t>
      </w:r>
    </w:p>
    <w:p>
      <w:pPr>
        <w:pStyle w:val="Style21"/>
        <w:spacing w:lineRule="exact" w:line="500" w:before="100" w:after="100"/>
        <w:ind w:firstLineChars="200" w:startChars="0" w:start="0" w:endChars="0" w:end="0"/>
        <w:contextualSpacing/>
        <w:rPr>
          <w:rFonts w:hint="eastAsia"/>
          <w:sz w:val="21"/>
          <w:szCs w:val="21"/>
        </w:rPr>
      </w:pPr>
      <w:r>
        <w:rPr>
          <w:rFonts w:hint="eastAsia"/>
          <w:sz w:val="21"/>
          <w:szCs w:val="21"/>
        </w:rPr>
        <w:t>2</w:t>
      </w:r>
      <w:r>
        <w:rPr>
          <w:rFonts w:hint="eastAsia"/>
          <w:sz w:val="21"/>
          <w:szCs w:val="21"/>
        </w:rPr>
        <w:t>、身份证复印件（正反面复印在一张纸上）</w:t>
      </w:r>
    </w:p>
    <w:p>
      <w:pPr>
        <w:pStyle w:val="Style21"/>
        <w:spacing w:lineRule="exact" w:line="500" w:before="100" w:after="100"/>
        <w:ind w:firstLineChars="200" w:startChars="0" w:start="0" w:endChars="0" w:end="0"/>
        <w:contextualSpacing/>
        <w:rPr>
          <w:rFonts w:hint="eastAsia"/>
          <w:sz w:val="21"/>
          <w:szCs w:val="21"/>
        </w:rPr>
      </w:pPr>
      <w:r>
        <w:rPr>
          <w:rFonts w:hint="eastAsia"/>
          <w:sz w:val="21"/>
          <w:szCs w:val="21"/>
        </w:rPr>
        <w:t>3</w:t>
      </w:r>
      <w:r>
        <w:rPr>
          <w:rFonts w:hint="eastAsia"/>
          <w:sz w:val="21"/>
          <w:szCs w:val="21"/>
        </w:rPr>
        <w:t>、本人最后学历证书和学位证书复印件</w:t>
      </w:r>
    </w:p>
    <w:p>
      <w:pPr>
        <w:pStyle w:val="Style21"/>
        <w:spacing w:lineRule="exact" w:line="500" w:before="100" w:after="100"/>
        <w:ind w:firstLineChars="200" w:startChars="0" w:start="0" w:endChars="0" w:end="0"/>
        <w:contextualSpacing/>
        <w:rPr>
          <w:rFonts w:hint="eastAsia"/>
          <w:sz w:val="21"/>
          <w:szCs w:val="21"/>
        </w:rPr>
      </w:pPr>
      <w:r>
        <w:rPr>
          <w:rFonts w:hint="eastAsia"/>
          <w:sz w:val="21"/>
          <w:szCs w:val="21"/>
        </w:rPr>
        <w:t>4</w:t>
      </w:r>
      <w:r>
        <w:rPr>
          <w:rFonts w:hint="eastAsia"/>
          <w:sz w:val="21"/>
          <w:szCs w:val="21"/>
        </w:rPr>
        <w:t>、一寸同底蓝色证件照</w:t>
      </w:r>
      <w:r>
        <w:rPr>
          <w:rFonts w:hint="eastAsia"/>
          <w:sz w:val="21"/>
          <w:szCs w:val="21"/>
        </w:rPr>
        <w:t>2</w:t>
      </w:r>
      <w:r>
        <w:rPr>
          <w:rFonts w:hint="eastAsia"/>
          <w:sz w:val="21"/>
          <w:szCs w:val="21"/>
        </w:rPr>
        <w:t>张。</w:t>
      </w:r>
    </w:p>
    <w:p>
      <w:pPr>
        <w:pStyle w:val="Style21"/>
        <w:spacing w:lineRule="exact" w:line="500" w:before="100" w:after="100"/>
        <w:ind w:firstLine="420" w:end="0"/>
        <w:contextualSpacing/>
        <w:rPr>
          <w:rFonts w:hint="eastAsia"/>
          <w:sz w:val="21"/>
          <w:szCs w:val="21"/>
        </w:rPr>
      </w:pPr>
      <w:r>
        <w:rPr>
          <w:rFonts w:hint="eastAsia"/>
          <w:sz w:val="21"/>
          <w:szCs w:val="21"/>
        </w:rPr>
      </w:r>
    </w:p>
    <w:p>
      <w:pPr>
        <w:pStyle w:val="Style21"/>
        <w:spacing w:lineRule="exact" w:line="500" w:before="100" w:after="100"/>
        <w:contextualSpacing/>
        <w:rPr>
          <w:b/>
          <w:color w:val="C00000"/>
          <w:sz w:val="21"/>
          <w:szCs w:val="21"/>
        </w:rPr>
      </w:pPr>
      <w:r>
        <w:rPr>
          <w:b/>
          <w:color w:val="C00000"/>
          <w:sz w:val="21"/>
          <w:szCs w:val="21"/>
        </w:rPr>
        <w:t>八、</w:t>
      </w:r>
      <w:r>
        <w:rPr>
          <w:rFonts w:hint="eastAsia"/>
          <w:b/>
          <w:color w:val="C00000"/>
          <w:sz w:val="21"/>
          <w:szCs w:val="21"/>
        </w:rPr>
        <w:t>收费标准</w:t>
      </w:r>
    </w:p>
    <w:p>
      <w:pPr>
        <w:pStyle w:val="Style21"/>
        <w:spacing w:lineRule="exact" w:line="500" w:before="100" w:after="100"/>
        <w:ind w:firstLineChars="200" w:startChars="0" w:start="0" w:endChars="0" w:end="0"/>
        <w:contextualSpacing/>
        <w:rPr>
          <w:rFonts w:hint="eastAsia"/>
          <w:sz w:val="21"/>
          <w:szCs w:val="21"/>
        </w:rPr>
      </w:pPr>
      <w:r>
        <w:rPr>
          <w:rFonts w:hint="eastAsia"/>
          <w:sz w:val="21"/>
          <w:szCs w:val="21"/>
        </w:rPr>
        <w:t>培训费每人</w:t>
      </w:r>
      <w:r>
        <w:rPr>
          <w:rFonts w:hint="eastAsia"/>
          <w:sz w:val="21"/>
          <w:szCs w:val="21"/>
        </w:rPr>
        <w:t>42000</w:t>
      </w:r>
      <w:r>
        <w:rPr>
          <w:rFonts w:hint="eastAsia"/>
          <w:sz w:val="21"/>
          <w:szCs w:val="21"/>
        </w:rPr>
        <w:t>元，书费、资料费自理，费用一次性交清。</w:t>
      </w:r>
    </w:p>
    <w:p>
      <w:pPr>
        <w:pStyle w:val="Style21"/>
        <w:spacing w:lineRule="exact" w:line="500" w:before="100" w:after="100"/>
        <w:contextualSpacing/>
        <w:rPr>
          <w:sz w:val="21"/>
          <w:szCs w:val="21"/>
        </w:rPr>
      </w:pPr>
      <w:r>
        <w:rPr>
          <w:sz w:val="21"/>
          <w:szCs w:val="21"/>
        </w:rPr>
        <w:t>　</w:t>
      </w:r>
    </w:p>
    <w:p>
      <w:pPr>
        <w:pStyle w:val="Style21"/>
        <w:spacing w:lineRule="exact" w:line="500" w:before="100" w:after="100"/>
        <w:contextualSpacing/>
        <w:rPr>
          <w:b/>
          <w:color w:val="C00000"/>
          <w:sz w:val="21"/>
          <w:szCs w:val="21"/>
        </w:rPr>
      </w:pPr>
      <w:r>
        <w:rPr>
          <w:b/>
          <w:color w:val="C00000"/>
          <w:sz w:val="21"/>
          <w:szCs w:val="21"/>
        </w:rPr>
        <w:t>九、获取证书</w:t>
      </w:r>
    </w:p>
    <w:p>
      <w:pPr>
        <w:pStyle w:val="Style21"/>
        <w:spacing w:lineRule="atLeast" w:line="450" w:before="0" w:after="0"/>
        <w:ind w:firstLine="420" w:end="0"/>
        <w:jc w:val="both"/>
        <w:rPr>
          <w:rFonts w:hint="eastAsia"/>
          <w:sz w:val="21"/>
          <w:szCs w:val="21"/>
        </w:rPr>
      </w:pPr>
      <w:r>
        <w:rPr>
          <w:sz w:val="21"/>
          <w:szCs w:val="21"/>
        </w:rPr>
        <w:t>学员在规定期限内完成在职课程培训班的学习项目，通过规定的课程考试，</w:t>
      </w:r>
      <w:r>
        <w:rPr>
          <w:rFonts w:hint="eastAsia"/>
          <w:sz w:val="21"/>
          <w:szCs w:val="21"/>
        </w:rPr>
        <w:t>颁发中国人民大学教育培训结业证书。</w:t>
      </w:r>
    </w:p>
    <w:sectPr>
      <w:headerReference w:type="default" r:id="rId3"/>
      <w:type w:val="nextPage"/>
      <w:pgSz w:w="11906" w:h="16838"/>
      <w:pgMar w:left="1800" w:right="1800" w:gutter="0" w:header="851" w:top="1440" w:footer="0" w:bottom="144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6"/>
    <w:family w:val="roman"/>
    <w:pitch w:val="variable"/>
  </w:font>
  <w:font w:name="宋体">
    <w:altName w:val="SimSun"/>
    <w:charset w:val="86"/>
    <w:family w:val="auto"/>
    <w:pitch w:val="variable"/>
  </w:font>
  <w:font w:name="Liberation Sans">
    <w:altName w:val="Arial"/>
    <w:charset w:val="86"/>
    <w:family w:val="swiss"/>
    <w:pitch w:val="variable"/>
  </w:font>
  <w:font w:name="Calibri">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lang w:val="zh-CN" w:eastAsia="zh-CN"/>
      </w:rPr>
      <w:drawing>
        <wp:anchor distT="0" distB="0" distL="114935" distR="114935" simplePos="0" relativeHeight="4" behindDoc="1" locked="0" layoutInCell="0" allowOverlap="1">
          <wp:simplePos x="0" y="0"/>
          <wp:positionH relativeFrom="margin">
            <wp:align>center</wp:align>
          </wp:positionH>
          <wp:positionV relativeFrom="margin">
            <wp:align>center</wp:align>
          </wp:positionV>
          <wp:extent cx="4472305" cy="4507865"/>
          <wp:effectExtent l="0" t="0" r="0" b="0"/>
          <wp:wrapNone/>
          <wp:docPr id="3" name="WordPictureWatermark1058209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58209720"/>
                  <pic:cNvPicPr>
                    <a:picLocks noChangeAspect="1" noChangeArrowheads="1"/>
                  </pic:cNvPicPr>
                </pic:nvPicPr>
                <pic:blipFill>
                  <a:blip r:embed="rId1">
                    <a:lum bright="70000" contrast="-70000"/>
                  </a:blip>
                  <a:srcRect l="-6" t="-6" r="-6" b="-6"/>
                  <a:stretch>
                    <a:fillRect/>
                  </a:stretch>
                </pic:blipFill>
                <pic:spPr bwMode="auto">
                  <a:xfrm>
                    <a:off x="0" y="0"/>
                    <a:ext cx="4472305" cy="450786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pStyle w:val="Heading6"/>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7"/>
      <w:numFmt w:val="chineseCountingThousand"/>
      <w:suff w:val="nothing"/>
      <w:lvlText w:val="%1、"/>
      <w:lvlJc w:val="start"/>
      <w:pPr>
        <w:tabs>
          <w:tab w:val="num" w:pos="0"/>
        </w:tabs>
        <w:ind w:start="0" w:hanging="0"/>
      </w:pPr>
      <w:rPr>
        <w:rFonts w:hint="eastAsia"/>
      </w:rPr>
    </w:lvl>
  </w:abstractNum>
  <w:num w:numId="1">
    <w:abstractNumId w:val="1"/>
  </w:num>
  <w:num w:numId="2">
    <w:abstractNumId w:val="2"/>
  </w:num>
</w:numbering>
</file>

<file path=word/settings.xml><?xml version="1.0" encoding="utf-8"?>
<w:settings xmlns:w="http://schemas.openxmlformats.org/wordprocessingml/2006/main">
  <w:zoom w:percent="100"/>
  <w:defaultTabStop w:val="420"/>
  <w:autoHyphenation w:val="true"/>
  <w:hyphenationZone w:val="0"/>
  <w:compat>
    <w:doNotExpandShiftReturn/>
    <w:adjustLineHeightInTable/>
    <w:compatSetting w:name="compatibilityMode" w:uri="http://schemas.microsoft.com/office/word" w:val="11"/>
  </w:compat>
  <w:docVars>
    <w:docVar w:name="commondata" w:val="eyJoZGlkIjoiNGQ5ODQ5N2Q1NmI0ZDAwYTJiMTcyMmU3ZjhhMWE4NmEifQ=="/>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宋体" w:cs="Lucida Sans"/>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2"/>
      <w:lang w:bidi="ar-SA" w:val="en-US" w:eastAsia="zh-CN"/>
    </w:rPr>
  </w:style>
  <w:style w:type="paragraph" w:styleId="Heading6">
    <w:name w:val="heading 6"/>
    <w:basedOn w:val="Normal"/>
    <w:next w:val="Normal"/>
    <w:qFormat/>
    <w:pPr>
      <w:numPr>
        <w:ilvl w:val="5"/>
        <w:numId w:val="1"/>
      </w:numPr>
      <w:spacing w:before="100" w:after="100"/>
      <w:jc w:val="start"/>
      <w:outlineLvl w:val="5"/>
    </w:pPr>
    <w:rPr>
      <w:rFonts w:ascii="宋体;SimSun" w:hAnsi="宋体;SimSun" w:cs="宋体;SimSun"/>
      <w:b/>
      <w:kern w:val="0"/>
      <w:sz w:val="15"/>
      <w:szCs w:val="15"/>
    </w:rPr>
  </w:style>
  <w:style w:type="character" w:styleId="WW8Num1z0">
    <w:name w:val="WW8Num1z0"/>
    <w:qFormat/>
    <w:rPr>
      <w:rFonts w:hint="eastAsia"/>
    </w:rPr>
  </w:style>
  <w:style w:type="character" w:styleId="WW8Num2z0">
    <w:name w:val="WW8Num2z0"/>
    <w:qFormat/>
    <w:rPr>
      <w:rFonts w:hint="eastAsia"/>
    </w:rPr>
  </w:style>
  <w:style w:type="character" w:styleId="Style13">
    <w:name w:val="默认段落字体"/>
    <w:qFormat/>
    <w:rPr/>
  </w:style>
  <w:style w:type="character" w:styleId="6">
    <w:name w:val="标题 6 字符"/>
    <w:qFormat/>
    <w:rPr>
      <w:rFonts w:ascii="宋体;SimSun" w:hAnsi="宋体;SimSun" w:cs="宋体;SimSun"/>
      <w:b/>
      <w:sz w:val="15"/>
      <w:szCs w:val="15"/>
    </w:rPr>
  </w:style>
  <w:style w:type="character" w:styleId="Style14">
    <w:name w:val="批注框文本 字符"/>
    <w:qFormat/>
    <w:rPr>
      <w:sz w:val="18"/>
      <w:szCs w:val="18"/>
    </w:rPr>
  </w:style>
  <w:style w:type="character" w:styleId="Style15">
    <w:name w:val="页脚 字符"/>
    <w:qFormat/>
    <w:rPr>
      <w:sz w:val="18"/>
      <w:szCs w:val="18"/>
    </w:rPr>
  </w:style>
  <w:style w:type="character" w:styleId="Style16">
    <w:name w:val="页眉 字符"/>
    <w:qFormat/>
    <w:rPr>
      <w:sz w:val="18"/>
      <w:szCs w:val="18"/>
    </w:rPr>
  </w:style>
  <w:style w:type="character" w:styleId="Hyperlink">
    <w:name w:val="Hyperlink"/>
    <w:rPr>
      <w:color w:val="0563C1"/>
      <w:u w:val="single"/>
    </w:rPr>
  </w:style>
  <w:style w:type="paragraph" w:styleId="Style17">
    <w:name w:val="标题样式"/>
    <w:basedOn w:val="Normal"/>
    <w:next w:val="BodyText"/>
    <w:qFormat/>
    <w:pPr>
      <w:keepNext w:val="true"/>
      <w:spacing w:before="240" w:after="120"/>
    </w:pPr>
    <w:rPr>
      <w:rFonts w:ascii="Liberation Sans" w:hAnsi="Liberation Sans" w:eastAsia="Noto Sans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8">
    <w:name w:val="索引"/>
    <w:basedOn w:val="Normal"/>
    <w:qFormat/>
    <w:pPr>
      <w:suppressLineNumbers/>
    </w:pPr>
    <w:rPr>
      <w:rFonts w:cs="Lucida Sans"/>
    </w:rPr>
  </w:style>
  <w:style w:type="paragraph" w:styleId="Style19">
    <w:name w:val="批注框文本"/>
    <w:basedOn w:val="Normal"/>
    <w:qFormat/>
    <w:pPr/>
    <w:rPr>
      <w:kern w:val="0"/>
      <w:sz w:val="18"/>
      <w:szCs w:val="18"/>
    </w:rPr>
  </w:style>
  <w:style w:type="paragraph" w:styleId="Style20">
    <w:name w:val="页眉与页脚"/>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kern w:val="0"/>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kern w:val="0"/>
      <w:sz w:val="18"/>
      <w:szCs w:val="18"/>
    </w:rPr>
  </w:style>
  <w:style w:type="paragraph" w:styleId="Style21">
    <w:name w:val="普通(网站)"/>
    <w:basedOn w:val="Normal"/>
    <w:qFormat/>
    <w:pPr>
      <w:widowControl/>
      <w:spacing w:before="100" w:after="100"/>
      <w:jc w:val="start"/>
    </w:pPr>
    <w:rPr>
      <w:rFonts w:ascii="宋体;SimSun" w:hAnsi="宋体;SimSun" w:eastAsia="宋体;SimSun" w:cs="宋体;SimSun"/>
      <w:kern w:val="0"/>
      <w:sz w:val="24"/>
      <w:szCs w:val="24"/>
    </w:rPr>
  </w:style>
  <w:style w:type="paragraph" w:styleId="Style22">
    <w:name w:val="表格内容"/>
    <w:basedOn w:val="Normal"/>
    <w:qFormat/>
    <w:pPr>
      <w:widowControl w:val="false"/>
      <w:suppressLineNumbers/>
    </w:pPr>
    <w:rPr/>
  </w:style>
  <w:style w:type="paragraph" w:styleId="Style23">
    <w:name w:val="表格标题"/>
    <w:basedOn w:val="Style22"/>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7</TotalTime>
  <Application>LibreOffice/26.2.5.2$Windows_X86_64 LibreOffice_project/cd7284b4cbbfeb507e630c1aac019f4157393acb</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2021-01-23T14:22:00Z</dcterms:created>
  <dc:creator>Administrator</dc:creator>
  <dc:description/>
  <cp:keywords/>
  <dc:language>zh-CN</dc:language>
  <cp:lastModifiedBy>方源 杨</cp:lastModifiedBy>
  <dcterms:modified xsi:type="dcterms:W3CDTF">2026-12-27T22:00:00Z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1891842E66F644AE8FD402680854EB47_13</vt:lpwstr>
  </property>
  <property fmtid="{D5CDD505-2E9C-101B-9397-08002B2CF9AE}" pid="3" name="KSOProductBuildVer">
    <vt:lpwstr>2052-12.1.0.16120</vt:lpwstr>
  </property>
  <property fmtid="{D5CDD505-2E9C-101B-9397-08002B2CF9AE}" pid="4" name="commondata">
    <vt:lpwstr>eyJoZGlkIjoiNGQ5ODQ5N2Q1NmI0ZDAwYTJiMTcyMmU3ZjhhMWE4NmEifQ==</vt:lpwstr>
  </property>
</Properties>
</file>