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0"/>
        <w:snapToGrid w:val="false"/>
        <w:spacing w:lineRule="exact" w:line="500" w:before="0" w:after="100"/>
        <w:ind w:hangingChars="600" w:startChars="0" w:start="0" w:endChars="0" w:end="0"/>
        <w:rPr>
          <w:rFonts w:hint="eastAsia"/>
          <w:b/>
          <w:sz w:val="21"/>
          <w:szCs w:val="21"/>
          <w:lang w:val="zh-CN" w:eastAsia="zh-CN"/>
        </w:rPr>
      </w:pPr>
      <w:r>
        <w:drawing>
          <wp:anchor distT="0" distB="0" distL="114935" distR="114935" simplePos="0" relativeHeight="6" behindDoc="0" locked="0" layoutInCell="1" allowOverlap="1">
            <wp:simplePos x="0" y="0"/>
            <wp:positionH relativeFrom="column">
              <wp:posOffset>790575</wp:posOffset>
            </wp:positionH>
            <wp:positionV relativeFrom="paragraph">
              <wp:posOffset>-152400</wp:posOffset>
            </wp:positionV>
            <wp:extent cx="3457575" cy="107632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
                    <a:srcRect l="-5" t="-17" r="-5" b="-17"/>
                    <a:stretch>
                      <a:fillRect/>
                    </a:stretch>
                  </pic:blipFill>
                  <pic:spPr bwMode="auto">
                    <a:xfrm>
                      <a:off x="0" y="0"/>
                      <a:ext cx="3457575" cy="1076325"/>
                    </a:xfrm>
                    <a:prstGeom prst="rect">
                      <a:avLst/>
                    </a:prstGeom>
                    <a:noFill/>
                  </pic:spPr>
                </pic:pic>
              </a:graphicData>
            </a:graphic>
          </wp:anchor>
        </w:drawing>
      </w:r>
      <w:r>
        <w:rPr>
          <w:b/>
          <w:sz w:val="21"/>
          <w:szCs w:val="21"/>
        </w:rPr>
        <w:t>　</w:t>
      </w:r>
    </w:p>
    <w:p>
      <w:pPr>
        <w:pStyle w:val="Style20"/>
        <w:snapToGrid w:val="false"/>
        <w:spacing w:lineRule="exact" w:line="500" w:before="100" w:after="100"/>
        <w:ind w:hangingChars="600" w:startChars="0" w:start="0" w:endChars="0" w:end="0"/>
        <w:contextualSpacing/>
        <w:rPr>
          <w:rFonts w:hint="eastAsia"/>
          <w:b/>
          <w:sz w:val="21"/>
          <w:szCs w:val="21"/>
          <w:lang w:val="zh-CN" w:eastAsia="zh-CN"/>
        </w:rPr>
      </w:pPr>
      <w:r>
        <w:rPr>
          <w:rFonts w:hint="eastAsia"/>
          <w:b/>
          <w:sz w:val="21"/>
          <w:szCs w:val="21"/>
          <w:lang w:val="zh-CN" w:eastAsia="zh-CN"/>
        </w:rPr>
      </w:r>
    </w:p>
    <w:p>
      <w:pPr>
        <w:pStyle w:val="Style20"/>
        <w:tabs>
          <w:tab w:val="clear" w:pos="420"/>
          <w:tab w:val="left" w:pos="7530" w:leader="none"/>
        </w:tabs>
        <w:snapToGrid w:val="false"/>
        <w:spacing w:lineRule="exact" w:line="500" w:before="100" w:after="100"/>
        <w:ind w:hangingChars="600" w:startChars="0" w:start="0" w:endChars="0" w:end="0"/>
        <w:contextualSpacing/>
        <w:rPr>
          <w:rFonts w:hint="eastAsia"/>
          <w:b/>
          <w:sz w:val="21"/>
          <w:szCs w:val="21"/>
          <w:lang w:val="zh-CN" w:eastAsia="zh-CN"/>
        </w:rPr>
      </w:pPr>
      <w:r>
        <w:rPr>
          <w:b/>
          <w:sz w:val="21"/>
          <w:szCs w:val="21"/>
          <w:lang w:val="zh-CN" w:eastAsia="zh-CN"/>
        </w:rPr>
        <w:tab/>
      </w:r>
    </w:p>
    <w:p>
      <w:pPr>
        <w:pStyle w:val="Heading5"/>
        <w:widowControl/>
        <w:shd w:fill="FFFFFF" w:val="clear"/>
        <w:spacing w:before="0" w:after="0"/>
        <w:ind w:hanging="0" w:start="0"/>
        <w:jc w:val="center"/>
        <w:textAlignment w:val="baseline"/>
        <w:rPr>
          <w:sz w:val="32"/>
          <w:szCs w:val="32"/>
        </w:rPr>
      </w:pPr>
      <w:r>
        <w:rPr>
          <w:sz w:val="32"/>
          <w:szCs w:val="32"/>
        </w:rPr>
        <w:t>2026</w:t>
      </w:r>
      <w:r>
        <w:rPr>
          <w:sz w:val="32"/>
          <w:szCs w:val="32"/>
        </w:rPr>
        <w:t>年中国人民大学文学院中国现当代文学专业</w:t>
      </w:r>
    </w:p>
    <w:p>
      <w:pPr>
        <w:pStyle w:val="Style20"/>
        <w:spacing w:lineRule="exact" w:line="500" w:before="100" w:after="100"/>
        <w:contextualSpacing/>
        <w:jc w:val="center"/>
        <w:rPr>
          <w:b/>
          <w:bCs/>
          <w:sz w:val="32"/>
          <w:szCs w:val="32"/>
        </w:rPr>
      </w:pPr>
      <w:r>
        <w:rPr>
          <w:b/>
          <w:bCs/>
          <w:sz w:val="32"/>
          <w:szCs w:val="32"/>
        </w:rPr>
        <w:t>在职课程培训班</w:t>
      </w:r>
    </w:p>
    <w:p>
      <w:pPr>
        <w:pStyle w:val="Style20"/>
        <w:spacing w:lineRule="exact" w:line="500" w:before="100" w:after="100"/>
        <w:contextualSpacing/>
        <w:rPr>
          <w:sz w:val="21"/>
          <w:szCs w:val="21"/>
        </w:rPr>
      </w:pPr>
      <w:r>
        <mc:AlternateContent>
          <mc:Choice Requires="wps">
            <w:drawing>
              <wp:anchor distT="0" distB="0" distL="114935" distR="114935" simplePos="0" relativeHeight="5" behindDoc="0" locked="0" layoutInCell="1" allowOverlap="1">
                <wp:simplePos x="0" y="0"/>
                <wp:positionH relativeFrom="column">
                  <wp:posOffset>9525</wp:posOffset>
                </wp:positionH>
                <wp:positionV relativeFrom="paragraph">
                  <wp:posOffset>203200</wp:posOffset>
                </wp:positionV>
                <wp:extent cx="5477510" cy="1270"/>
                <wp:effectExtent l="635" t="3175" r="635" b="3175"/>
                <wp:wrapNone/>
                <wp:docPr id="2" name="自选图形 6"/>
                <a:graphic xmlns:a="http://schemas.openxmlformats.org/drawingml/2006/main">
                  <a:graphicData uri="http://schemas.microsoft.com/office/word/2010/wordprocessingShape">
                    <wps:wsp>
                      <wps:cNvCnPr/>
                      <wps:spPr>
                        <a:xfrm>
                          <a:off x="0" y="0"/>
                          <a:ext cx="5478120" cy="1800"/>
                        </a:xfrm>
                        <a:prstGeom prst="straightConnector1">
                          <a:avLst/>
                        </a:prstGeom>
                        <a:ln w="6480">
                          <a:solidFill>
                            <a:srgbClr val="C00000"/>
                          </a:solidFill>
                          <a:miter/>
                        </a:ln>
                      </wps:spPr>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f" style="position:absolute;margin-left:0.75pt;margin-top:16pt;width:431.3pt;height:0.1pt" type="_x0000_t32">
                <v:stroke color="#c00000" weight="6480" joinstyle="miter" endcap="flat"/>
                <v:fill o:detectmouseclick="t" on="false"/>
                <w10:wrap type="none"/>
              </v:shape>
            </w:pict>
          </mc:Fallback>
        </mc:AlternateContent>
      </w:r>
      <w:r>
        <w:rPr>
          <w:sz w:val="21"/>
          <w:szCs w:val="21"/>
        </w:rPr>
        <w:t>　　</w:t>
      </w:r>
    </w:p>
    <w:p>
      <w:pPr>
        <w:pStyle w:val="Style20"/>
        <w:spacing w:lineRule="exact" w:line="500" w:before="100" w:after="100"/>
        <w:contextualSpacing/>
        <w:rPr>
          <w:sz w:val="21"/>
          <w:szCs w:val="21"/>
        </w:rPr>
      </w:pPr>
      <w:r>
        <w:rPr>
          <w:sz w:val="21"/>
          <w:szCs w:val="21"/>
        </w:rPr>
        <w:t>培训类别：</w:t>
      </w:r>
      <w:r>
        <w:rPr>
          <w:color w:val="C00000"/>
          <w:sz w:val="21"/>
          <w:szCs w:val="21"/>
        </w:rPr>
        <w:t>课程班</w:t>
      </w:r>
      <w:r>
        <w:rPr>
          <w:color w:val="C00000"/>
          <w:sz w:val="21"/>
          <w:szCs w:val="21"/>
        </w:rPr>
        <w:t>[</w:t>
      </w:r>
      <w:r>
        <w:rPr>
          <w:rFonts w:hint="eastAsia"/>
          <w:color w:val="C00000"/>
          <w:sz w:val="21"/>
          <w:szCs w:val="21"/>
        </w:rPr>
        <w:t>人文</w:t>
      </w:r>
      <w:r>
        <w:rPr>
          <w:color w:val="C00000"/>
          <w:sz w:val="21"/>
          <w:szCs w:val="21"/>
        </w:rPr>
        <w:t>]</w:t>
      </w:r>
      <w:r>
        <w:rPr>
          <w:sz w:val="21"/>
          <w:szCs w:val="21"/>
        </w:rPr>
        <w:t xml:space="preserve">      </w:t>
      </w:r>
      <w:r>
        <w:rPr>
          <w:sz w:val="21"/>
          <w:szCs w:val="21"/>
        </w:rPr>
        <w:t>培训费：</w:t>
      </w:r>
      <w:r>
        <w:rPr>
          <w:rFonts w:hint="eastAsia"/>
          <w:color w:val="C00000"/>
          <w:sz w:val="21"/>
          <w:szCs w:val="21"/>
        </w:rPr>
        <w:t>380</w:t>
      </w:r>
      <w:r>
        <w:rPr>
          <w:color w:val="C00000"/>
          <w:sz w:val="21"/>
          <w:szCs w:val="21"/>
        </w:rPr>
        <w:t>00.00</w:t>
      </w:r>
      <w:r>
        <w:rPr>
          <w:color w:val="C00000"/>
          <w:sz w:val="21"/>
          <w:szCs w:val="21"/>
        </w:rPr>
        <w:t xml:space="preserve">元 </w:t>
      </w:r>
      <w:r>
        <w:rPr>
          <w:sz w:val="21"/>
          <w:szCs w:val="21"/>
        </w:rPr>
        <w:t xml:space="preserve">    主办单位：</w:t>
      </w:r>
      <w:r>
        <w:rPr>
          <w:rFonts w:hint="eastAsia"/>
          <w:color w:val="C00000"/>
          <w:sz w:val="21"/>
          <w:szCs w:val="21"/>
        </w:rPr>
        <w:t>文学院</w:t>
      </w:r>
    </w:p>
    <w:p>
      <w:pPr>
        <w:pStyle w:val="Normal"/>
        <w:spacing w:lineRule="exact" w:line="500"/>
        <w:ind w:firstLineChars="200" w:startChars="0" w:start="0" w:endChars="0" w:end="0"/>
        <w:rPr>
          <w:rFonts w:ascii="宋体;SimSun" w:hAnsi="宋体;SimSun" w:cs="宋体;SimSun"/>
          <w:szCs w:val="21"/>
        </w:rPr>
      </w:pPr>
      <w:r>
        <w:rPr>
          <w:rFonts w:ascii="宋体;SimSun" w:hAnsi="宋体;SimSun" w:cs="宋体;SimSun" w:hint="eastAsia"/>
          <w:szCs w:val="21"/>
        </w:rPr>
        <w:t>中国人民大学是一所以人文社会科学为主的综合性研究型全国重点大学。学校是国家“</w:t>
      </w:r>
      <w:r>
        <w:rPr>
          <w:rFonts w:cs="宋体;SimSun" w:hint="eastAsia" w:ascii="宋体;SimSun" w:hAnsi="宋体;SimSun"/>
          <w:szCs w:val="21"/>
        </w:rPr>
        <w:t>985</w:t>
      </w:r>
      <w:r>
        <w:rPr>
          <w:rFonts w:ascii="宋体;SimSun" w:hAnsi="宋体;SimSun" w:cs="宋体;SimSun" w:hint="eastAsia"/>
          <w:szCs w:val="21"/>
        </w:rPr>
        <w:t>工程”和“</w:t>
      </w:r>
      <w:r>
        <w:rPr>
          <w:rFonts w:cs="宋体;SimSun" w:hint="eastAsia" w:ascii="宋体;SimSun" w:hAnsi="宋体;SimSun"/>
          <w:szCs w:val="21"/>
        </w:rPr>
        <w:t>211</w:t>
      </w:r>
      <w:r>
        <w:rPr>
          <w:rFonts w:ascii="宋体;SimSun" w:hAnsi="宋体;SimSun" w:cs="宋体;SimSun" w:hint="eastAsia"/>
          <w:szCs w:val="21"/>
        </w:rPr>
        <w:t>工程”重点建设的大学之一，在长期办学实践中成绩显著被誉为“我国人文社会科学高等教育领域的一面旗帜”。</w:t>
      </w:r>
    </w:p>
    <w:p>
      <w:pPr>
        <w:pStyle w:val="Style20"/>
        <w:numPr>
          <w:ilvl w:val="0"/>
          <w:numId w:val="2"/>
        </w:numPr>
        <w:spacing w:lineRule="exact" w:line="500" w:before="100" w:after="280"/>
        <w:rPr>
          <w:b/>
          <w:color w:val="C00000"/>
          <w:sz w:val="21"/>
          <w:szCs w:val="21"/>
        </w:rPr>
      </w:pPr>
      <w:r>
        <w:rPr>
          <w:b/>
          <w:color w:val="C00000"/>
          <w:sz w:val="21"/>
          <w:szCs w:val="21"/>
        </w:rPr>
        <w:t>学院及专业优势简介</w:t>
      </w:r>
    </w:p>
    <w:p>
      <w:pPr>
        <w:pStyle w:val="Normal"/>
        <w:spacing w:lineRule="exact" w:line="500"/>
        <w:ind w:firstLineChars="300" w:startChars="0" w:start="0" w:endChars="0" w:end="0"/>
        <w:rPr>
          <w:rFonts w:ascii="宋体;SimSun" w:hAnsi="宋体;SimSun" w:cs="宋体;SimSun" w:hint="eastAsia"/>
          <w:szCs w:val="21"/>
        </w:rPr>
      </w:pPr>
      <w:r>
        <w:rPr>
          <w:rFonts w:ascii="宋体;SimSun" w:hAnsi="宋体;SimSun" w:cs="宋体;SimSun" w:hint="eastAsia"/>
          <w:szCs w:val="21"/>
        </w:rPr>
        <w:t>中国人民大学文学院是学科体系完备、专业实力雄厚的语言文学研究和一流人才培养重镇，先后被批准为“国家文科基础学科（中国语言文学）人才培养和科学研究基地”、“国家对外汉语教学基地”。在教育部第四轮学科评估中，文学院中国语言文学跻身</w:t>
      </w:r>
      <w:r>
        <w:rPr>
          <w:rFonts w:cs="宋体;SimSun" w:hint="eastAsia" w:ascii="宋体;SimSun" w:hAnsi="宋体;SimSun"/>
          <w:szCs w:val="21"/>
        </w:rPr>
        <w:t>A</w:t>
      </w:r>
      <w:r>
        <w:rPr>
          <w:rFonts w:ascii="宋体;SimSun" w:hAnsi="宋体;SimSun" w:cs="宋体;SimSun" w:hint="eastAsia"/>
          <w:szCs w:val="21"/>
        </w:rPr>
        <w:t>类，办学水平位居全国高校前列。</w:t>
      </w:r>
    </w:p>
    <w:p>
      <w:pPr>
        <w:pStyle w:val="Normal"/>
        <w:spacing w:lineRule="exact" w:line="500"/>
        <w:ind w:firstLineChars="300" w:startChars="0" w:start="0" w:endChars="0" w:end="0"/>
        <w:rPr>
          <w:rFonts w:ascii="宋体;SimSun" w:hAnsi="宋体;SimSun" w:cs="宋体;SimSun" w:hint="eastAsia"/>
          <w:szCs w:val="21"/>
        </w:rPr>
      </w:pPr>
      <w:r>
        <w:rPr>
          <w:rFonts w:ascii="宋体;SimSun" w:hAnsi="宋体;SimSun" w:cs="宋体;SimSun" w:hint="eastAsia"/>
          <w:szCs w:val="21"/>
        </w:rPr>
        <w:t>中国现当代文学为北京市重点学科，在八十年代文学研究、鲁迅研究、女性文学研究及翻译文学研究等领域已形成自己的特色和相对优势，并与北京鲁迅博物馆共建了学术基地“鲁迅研究中心”。另有阎连科、刘震云、王家新等教授领衔的创造性写作作为支撑学科。</w:t>
      </w:r>
    </w:p>
    <w:p>
      <w:pPr>
        <w:pStyle w:val="Normal"/>
        <w:spacing w:lineRule="exact" w:line="500"/>
        <w:rPr>
          <w:rFonts w:ascii="宋体;SimSun" w:hAnsi="宋体;SimSun" w:cs="宋体;SimSun" w:hint="eastAsia"/>
          <w:szCs w:val="21"/>
        </w:rPr>
      </w:pPr>
      <w:r>
        <w:rPr>
          <w:rFonts w:cs="宋体;SimSun" w:hint="eastAsia" w:ascii="宋体;SimSun" w:hAnsi="宋体;SimSun"/>
          <w:szCs w:val="21"/>
        </w:rPr>
      </w:r>
    </w:p>
    <w:p>
      <w:pPr>
        <w:pStyle w:val="Style20"/>
        <w:numPr>
          <w:ilvl w:val="0"/>
          <w:numId w:val="3"/>
        </w:numPr>
        <w:spacing w:lineRule="exact" w:line="500" w:before="100" w:after="280"/>
        <w:rPr>
          <w:b/>
          <w:color w:val="C00000"/>
          <w:sz w:val="21"/>
          <w:szCs w:val="21"/>
        </w:rPr>
      </w:pPr>
      <w:r>
        <w:rPr>
          <w:b/>
          <w:color w:val="C00000"/>
          <w:sz w:val="21"/>
          <w:szCs w:val="21"/>
        </w:rPr>
        <w:t>课程安排</w:t>
      </w:r>
    </w:p>
    <w:p>
      <w:pPr>
        <w:pStyle w:val="Style20"/>
        <w:spacing w:lineRule="exact" w:line="500" w:before="100" w:after="100"/>
        <w:contextualSpacing/>
        <w:rPr>
          <w:b/>
          <w:color w:val="C00000"/>
          <w:sz w:val="21"/>
          <w:szCs w:val="21"/>
        </w:rPr>
      </w:pPr>
      <w:r>
        <w:rPr>
          <w:b/>
          <w:color w:val="C00000"/>
          <w:sz w:val="21"/>
          <w:szCs w:val="21"/>
        </w:rPr>
      </w:r>
    </w:p>
    <w:p>
      <w:pPr>
        <w:pStyle w:val="Style20"/>
        <w:spacing w:lineRule="exact" w:line="500" w:before="100" w:after="100"/>
        <w:contextualSpacing/>
        <w:rPr>
          <w:b/>
          <w:color w:val="C00000"/>
          <w:sz w:val="21"/>
          <w:szCs w:val="21"/>
        </w:rPr>
      </w:pPr>
      <w:r>
        <w:rPr>
          <w:b/>
          <w:color w:val="C00000"/>
          <w:sz w:val="21"/>
          <w:szCs w:val="21"/>
        </w:rPr>
      </w:r>
    </w:p>
    <w:p>
      <w:pPr>
        <w:pStyle w:val="Style20"/>
        <w:spacing w:lineRule="exact" w:line="500" w:before="100" w:after="100"/>
        <w:contextualSpacing/>
        <w:rPr>
          <w:rFonts w:hint="eastAsia"/>
          <w:b/>
          <w:color w:val="C00000"/>
          <w:sz w:val="21"/>
          <w:szCs w:val="21"/>
        </w:rPr>
      </w:pPr>
      <w:r>
        <w:rPr>
          <w:rFonts w:hint="eastAsia"/>
          <w:b/>
          <w:color w:val="C00000"/>
          <w:sz w:val="21"/>
          <w:szCs w:val="21"/>
        </w:rPr>
      </w:r>
    </w:p>
    <w:tbl>
      <w:tblPr>
        <w:tblW w:w="8604" w:type="dxa"/>
        <w:jc w:val="start"/>
        <w:tblInd w:w="0" w:type="dxa"/>
        <w:tblLayout w:type="fixed"/>
        <w:tblCellMar>
          <w:top w:w="0" w:type="dxa"/>
          <w:start w:w="108" w:type="dxa"/>
          <w:bottom w:w="0" w:type="dxa"/>
          <w:end w:w="108" w:type="dxa"/>
        </w:tblCellMar>
      </w:tblPr>
      <w:tblGrid>
        <w:gridCol w:w="1978"/>
        <w:gridCol w:w="3626"/>
        <w:gridCol w:w="3000"/>
      </w:tblGrid>
      <w:tr>
        <w:trPr>
          <w:trHeight w:val="695" w:hRule="atLeast"/>
        </w:trPr>
        <w:tc>
          <w:tcPr>
            <w:tcW w:w="8604" w:type="dxa"/>
            <w:gridSpan w:val="3"/>
            <w:tcBorders>
              <w:top w:val="single" w:sz="4" w:space="0" w:color="000000"/>
              <w:start w:val="single" w:sz="4" w:space="0" w:color="000000"/>
              <w:bottom w:val="single" w:sz="4" w:space="0" w:color="000000"/>
              <w:end w:val="single" w:sz="4" w:space="0" w:color="000000"/>
            </w:tcBorders>
          </w:tcPr>
          <w:p>
            <w:pPr>
              <w:pStyle w:val="Heading6"/>
              <w:widowControl/>
              <w:tabs>
                <w:tab w:val="clear" w:pos="420"/>
                <w:tab w:val="left" w:pos="3366" w:leader="none"/>
              </w:tabs>
              <w:spacing w:before="225" w:after="75"/>
              <w:ind w:hanging="0" w:start="0"/>
              <w:rPr>
                <w:rFonts w:cs="微软雅黑"/>
                <w:b w:val="false"/>
                <w:color w:val="000000"/>
                <w:sz w:val="21"/>
                <w:szCs w:val="21"/>
                <w:lang w:bidi="ar"/>
              </w:rPr>
            </w:pPr>
            <w:r>
              <w:rPr>
                <w:rFonts w:cs="微软雅黑" w:hint="eastAsia"/>
                <w:b w:val="false"/>
                <w:color w:val="000000"/>
                <w:sz w:val="21"/>
                <w:szCs w:val="21"/>
                <w:lang w:bidi="ar"/>
              </w:rPr>
              <w:tab/>
            </w:r>
            <w:r>
              <w:rPr>
                <w:rFonts w:cs="微软雅黑" w:hint="eastAsia"/>
                <w:bCs/>
                <w:color w:val="000000"/>
                <w:sz w:val="21"/>
                <w:szCs w:val="21"/>
                <w:lang w:bidi="ar"/>
              </w:rPr>
              <w:t>中国现当代文学专业课程</w:t>
            </w:r>
          </w:p>
        </w:tc>
      </w:tr>
      <w:tr>
        <w:trPr>
          <w:trHeight w:val="580" w:hRule="atLeast"/>
        </w:trPr>
        <w:tc>
          <w:tcPr>
            <w:tcW w:w="1978" w:type="dxa"/>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Cs/>
                <w:color w:val="000000"/>
                <w:sz w:val="21"/>
                <w:szCs w:val="21"/>
                <w:lang w:bidi="ar"/>
              </w:rPr>
            </w:pPr>
            <w:r>
              <w:rPr>
                <w:rFonts w:cs="微软雅黑" w:hint="eastAsia"/>
                <w:bCs/>
                <w:color w:val="000000"/>
                <w:sz w:val="21"/>
                <w:szCs w:val="21"/>
                <w:lang w:bidi="ar"/>
              </w:rPr>
              <w:t>政治理论课</w:t>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宋体;SimSun"/>
                <w:b w:val="false"/>
                <w:sz w:val="21"/>
                <w:szCs w:val="21"/>
              </w:rPr>
            </w:pPr>
            <w:r>
              <w:rPr>
                <w:rFonts w:cs="宋体;SimSun"/>
                <w:b w:val="false"/>
                <w:sz w:val="21"/>
                <w:szCs w:val="21"/>
              </w:rPr>
              <w:t>新时代中国特色社会主义理论与实践</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hint="eastAsia"/>
                <w:b w:val="false"/>
                <w:color w:val="000000"/>
                <w:sz w:val="21"/>
                <w:szCs w:val="21"/>
                <w:lang w:bidi="ar"/>
              </w:rPr>
              <w:t>马克思主义与社会科学方法论</w:t>
            </w:r>
          </w:p>
        </w:tc>
      </w:tr>
      <w:tr>
        <w:trPr>
          <w:trHeight w:val="412" w:hRule="atLeast"/>
        </w:trPr>
        <w:tc>
          <w:tcPr>
            <w:tcW w:w="1978"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jc w:val="center"/>
              <w:rPr>
                <w:rFonts w:cs="微软雅黑" w:hint="eastAsia"/>
                <w:bCs/>
                <w:color w:val="000000"/>
                <w:sz w:val="21"/>
                <w:szCs w:val="21"/>
                <w:lang w:bidi="ar"/>
              </w:rPr>
            </w:pPr>
            <w:r>
              <w:rPr>
                <w:rFonts w:cs="微软雅黑" w:hint="eastAsia"/>
                <w:bCs/>
                <w:color w:val="000000"/>
                <w:sz w:val="21"/>
                <w:szCs w:val="21"/>
                <w:lang w:bidi="ar"/>
              </w:rPr>
              <w:t>第一外语课</w:t>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微软雅黑"/>
                <w:b w:val="false"/>
                <w:color w:val="000000"/>
                <w:sz w:val="21"/>
                <w:szCs w:val="21"/>
                <w:lang w:bidi="ar"/>
              </w:rPr>
            </w:pPr>
            <w:r>
              <w:rPr>
                <w:rFonts w:cs="微软雅黑" w:hint="eastAsia"/>
                <w:b w:val="false"/>
                <w:color w:val="000000"/>
                <w:sz w:val="21"/>
                <w:szCs w:val="21"/>
                <w:lang w:bidi="ar"/>
              </w:rPr>
              <w:t>语言基础</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napToGrid w:val="false"/>
              <w:spacing w:before="225" w:after="75"/>
              <w:ind w:hanging="0" w:start="0"/>
              <w:rPr>
                <w:rFonts w:cs="微软雅黑"/>
                <w:b w:val="false"/>
                <w:color w:val="000000"/>
                <w:sz w:val="21"/>
                <w:szCs w:val="21"/>
                <w:lang w:bidi="ar"/>
              </w:rPr>
            </w:pPr>
            <w:r>
              <w:rPr>
                <w:rFonts w:cs="微软雅黑"/>
                <w:b w:val="false"/>
                <w:color w:val="000000"/>
                <w:sz w:val="21"/>
                <w:szCs w:val="21"/>
                <w:lang w:bidi="ar"/>
              </w:rPr>
            </w:r>
          </w:p>
        </w:tc>
      </w:tr>
      <w:tr>
        <w:trPr>
          <w:trHeight w:val="637" w:hRule="atLeast"/>
        </w:trPr>
        <w:tc>
          <w:tcPr>
            <w:tcW w:w="1978" w:type="dxa"/>
            <w:vMerge w:val="restart"/>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firstLineChars="100" w:startChars="0" w:start="0" w:endChars="0" w:end="0"/>
              <w:jc w:val="center"/>
              <w:rPr>
                <w:rFonts w:cs="微软雅黑"/>
                <w:bCs/>
                <w:color w:val="000000"/>
                <w:sz w:val="21"/>
                <w:szCs w:val="21"/>
                <w:lang w:bidi="ar"/>
              </w:rPr>
            </w:pPr>
            <w:r>
              <w:rPr>
                <w:rFonts w:cs="微软雅黑" w:hint="eastAsia"/>
                <w:bCs/>
                <w:color w:val="000000"/>
                <w:sz w:val="21"/>
                <w:szCs w:val="21"/>
                <w:lang w:bidi="ar"/>
              </w:rPr>
              <w:t>方法</w:t>
            </w:r>
            <w:r>
              <w:rPr>
                <w:rFonts w:cs="微软雅黑" w:hint="eastAsia"/>
                <w:bCs/>
                <w:color w:val="000000"/>
                <w:sz w:val="21"/>
                <w:szCs w:val="21"/>
                <w:lang w:bidi="ar"/>
              </w:rPr>
              <w:t>+</w:t>
            </w:r>
            <w:r>
              <w:rPr>
                <w:rFonts w:cs="微软雅黑" w:hint="eastAsia"/>
                <w:bCs/>
                <w:color w:val="000000"/>
                <w:sz w:val="21"/>
                <w:szCs w:val="21"/>
                <w:lang w:bidi="ar"/>
              </w:rPr>
              <w:t>基础</w:t>
            </w:r>
            <w:r>
              <w:rPr>
                <w:rFonts w:cs="微软雅黑" w:hint="eastAsia"/>
                <w:bCs/>
                <w:color w:val="000000"/>
                <w:sz w:val="21"/>
                <w:szCs w:val="21"/>
                <w:lang w:bidi="ar"/>
              </w:rPr>
              <w:t>+</w:t>
            </w:r>
            <w:r>
              <w:rPr>
                <w:rFonts w:cs="微软雅黑" w:hint="eastAsia"/>
                <w:bCs/>
                <w:color w:val="000000"/>
                <w:sz w:val="21"/>
                <w:szCs w:val="21"/>
                <w:lang w:bidi="ar"/>
              </w:rPr>
              <w:t>专业课</w:t>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宋体;SimSun"/>
                <w:b w:val="false"/>
                <w:sz w:val="21"/>
                <w:szCs w:val="21"/>
              </w:rPr>
            </w:pPr>
            <w:r>
              <w:rPr>
                <w:rFonts w:cs="宋体;SimSun"/>
                <w:b w:val="false"/>
                <w:sz w:val="21"/>
                <w:szCs w:val="21"/>
              </w:rPr>
              <w:t>现当代文学研究的基本问题</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宋体;SimSun"/>
                <w:b w:val="false"/>
                <w:sz w:val="21"/>
                <w:szCs w:val="21"/>
              </w:rPr>
            </w:pPr>
            <w:r>
              <w:rPr>
                <w:rFonts w:cs="宋体;SimSun"/>
                <w:b w:val="false"/>
                <w:sz w:val="21"/>
                <w:szCs w:val="21"/>
              </w:rPr>
              <w:t>文学研究的问题与方法</w:t>
            </w:r>
          </w:p>
        </w:tc>
      </w:tr>
      <w:tr>
        <w:trPr>
          <w:trHeight w:val="707"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rPr>
                <w:rFonts w:cs="微软雅黑" w:hint="eastAsia"/>
                <w:b w:val="false"/>
                <w:color w:val="000000"/>
                <w:sz w:val="21"/>
                <w:szCs w:val="21"/>
                <w:lang w:bidi="ar"/>
              </w:rPr>
            </w:pPr>
            <w:r>
              <w:rPr>
                <w:rFonts w:cs="微软雅黑" w:hint="eastAsia"/>
                <w:b w:val="false"/>
                <w:color w:val="000000"/>
                <w:kern w:val="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宋体;SimSun"/>
                <w:b w:val="false"/>
                <w:sz w:val="21"/>
                <w:szCs w:val="21"/>
              </w:rPr>
            </w:pPr>
            <w:r>
              <w:rPr>
                <w:rFonts w:cs="宋体;SimSun"/>
                <w:b w:val="false"/>
                <w:sz w:val="21"/>
                <w:szCs w:val="21"/>
              </w:rPr>
              <w:t>中国古代典籍研读与分析</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宋体;SimSun"/>
                <w:b w:val="false"/>
                <w:sz w:val="21"/>
                <w:szCs w:val="21"/>
              </w:rPr>
            </w:pPr>
            <w:r>
              <w:rPr>
                <w:rFonts w:cs="宋体;SimSun"/>
                <w:b w:val="false"/>
                <w:sz w:val="21"/>
                <w:szCs w:val="21"/>
              </w:rPr>
              <w:t>中国现当代文学名著研读</w:t>
            </w:r>
          </w:p>
        </w:tc>
      </w:tr>
      <w:tr>
        <w:trPr>
          <w:trHeight w:val="592"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bCs/>
                <w:color w:val="000000"/>
                <w:sz w:val="21"/>
                <w:szCs w:val="21"/>
                <w:lang w:bidi="ar"/>
              </w:rPr>
            </w:pPr>
            <w:r>
              <w:rPr>
                <w:rFonts w:cs="微软雅黑"/>
                <w:b w:val="false"/>
                <w:bCs/>
                <w:color w:val="000000"/>
                <w:kern w:val="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宋体;SimSun"/>
                <w:b w:val="false"/>
                <w:sz w:val="21"/>
                <w:szCs w:val="21"/>
              </w:rPr>
            </w:pPr>
            <w:r>
              <w:rPr>
                <w:rFonts w:cs="宋体;SimSun"/>
                <w:b w:val="false"/>
                <w:sz w:val="21"/>
                <w:szCs w:val="21"/>
              </w:rPr>
              <w:t>中国现当代文学思潮与流派研究</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宋体;SimSun"/>
                <w:b w:val="false"/>
                <w:sz w:val="21"/>
                <w:szCs w:val="21"/>
              </w:rPr>
            </w:pPr>
            <w:r>
              <w:rPr>
                <w:rFonts w:cs="宋体;SimSun"/>
                <w:b w:val="false"/>
                <w:sz w:val="21"/>
                <w:szCs w:val="21"/>
              </w:rPr>
              <w:t>研究专著研读</w:t>
            </w:r>
          </w:p>
        </w:tc>
      </w:tr>
      <w:tr>
        <w:trPr>
          <w:trHeight w:val="517"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hint="eastAsia"/>
                <w:bCs/>
                <w:color w:val="000000"/>
                <w:sz w:val="21"/>
                <w:szCs w:val="21"/>
                <w:lang w:bidi="ar"/>
              </w:rPr>
            </w:pPr>
            <w:r>
              <w:rPr>
                <w:rFonts w:cs="微软雅黑" w:hint="eastAsia"/>
                <w:b w:val="false"/>
                <w:bCs/>
                <w:color w:val="000000"/>
                <w:kern w:val="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宋体;SimSun"/>
                <w:b w:val="false"/>
                <w:sz w:val="21"/>
                <w:szCs w:val="21"/>
              </w:rPr>
            </w:pPr>
            <w:r>
              <w:rPr>
                <w:rFonts w:cs="宋体;SimSun"/>
                <w:b w:val="false"/>
                <w:sz w:val="21"/>
                <w:szCs w:val="21"/>
              </w:rPr>
              <w:t>当代写作与当代批评</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宋体;SimSun" w:hint="eastAsia"/>
                <w:b w:val="false"/>
                <w:sz w:val="21"/>
                <w:szCs w:val="21"/>
              </w:rPr>
            </w:pPr>
            <w:r>
              <w:rPr>
                <w:rFonts w:cs="宋体;SimSun"/>
                <w:b w:val="false"/>
                <w:sz w:val="21"/>
                <w:szCs w:val="21"/>
              </w:rPr>
              <w:t>中国新诗研究</w:t>
            </w:r>
          </w:p>
        </w:tc>
      </w:tr>
      <w:tr>
        <w:trPr>
          <w:trHeight w:val="532"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hint="eastAsia"/>
                <w:bCs/>
                <w:color w:val="000000"/>
                <w:sz w:val="21"/>
                <w:szCs w:val="21"/>
                <w:lang w:bidi="ar"/>
              </w:rPr>
            </w:pPr>
            <w:r>
              <w:rPr>
                <w:rFonts w:cs="微软雅黑" w:hint="eastAsia"/>
                <w:b w:val="false"/>
                <w:bCs/>
                <w:color w:val="000000"/>
                <w:kern w:val="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宋体;SimSun"/>
                <w:b w:val="false"/>
                <w:sz w:val="21"/>
                <w:szCs w:val="21"/>
              </w:rPr>
            </w:pPr>
            <w:r>
              <w:rPr>
                <w:rFonts w:cs="宋体;SimSun"/>
                <w:b w:val="false"/>
                <w:sz w:val="21"/>
                <w:szCs w:val="21"/>
              </w:rPr>
              <w:t>剧场艺术前沿问题研究</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宋体;SimSun"/>
                <w:b w:val="false"/>
                <w:sz w:val="21"/>
                <w:szCs w:val="21"/>
              </w:rPr>
            </w:pPr>
            <w:r>
              <w:rPr>
                <w:rFonts w:cs="宋体;SimSun"/>
                <w:b w:val="false"/>
                <w:sz w:val="21"/>
                <w:szCs w:val="21"/>
              </w:rPr>
              <w:t>中国现代小说史</w:t>
            </w:r>
          </w:p>
        </w:tc>
      </w:tr>
      <w:tr>
        <w:trPr>
          <w:trHeight w:val="532"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hint="eastAsia"/>
                <w:bCs/>
                <w:color w:val="000000"/>
                <w:sz w:val="21"/>
                <w:szCs w:val="21"/>
                <w:lang w:bidi="ar"/>
              </w:rPr>
            </w:pPr>
            <w:r>
              <w:rPr>
                <w:rFonts w:cs="微软雅黑" w:hint="eastAsia"/>
                <w:b w:val="false"/>
                <w:bCs/>
                <w:color w:val="000000"/>
                <w:kern w:val="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宋体;SimSun"/>
                <w:b w:val="false"/>
                <w:sz w:val="21"/>
                <w:szCs w:val="21"/>
              </w:rPr>
            </w:pPr>
            <w:r>
              <w:rPr>
                <w:rFonts w:cs="宋体;SimSun"/>
                <w:b w:val="false"/>
                <w:sz w:val="21"/>
                <w:szCs w:val="21"/>
              </w:rPr>
              <w:t>中国现代文学专题研究</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宋体;SimSun"/>
                <w:b w:val="false"/>
                <w:sz w:val="21"/>
                <w:szCs w:val="21"/>
              </w:rPr>
            </w:pPr>
            <w:r>
              <w:rPr>
                <w:rFonts w:cs="宋体;SimSun" w:hint="eastAsia"/>
                <w:b w:val="false"/>
                <w:sz w:val="21"/>
                <w:szCs w:val="21"/>
              </w:rPr>
              <w:t>学术规范与论文写作</w:t>
            </w:r>
          </w:p>
        </w:tc>
      </w:tr>
      <w:tr>
        <w:trPr>
          <w:trHeight w:val="532" w:hRule="atLeast"/>
        </w:trPr>
        <w:tc>
          <w:tcPr>
            <w:tcW w:w="1978" w:type="dxa"/>
            <w:vMerge w:val="restart"/>
            <w:tcBorders>
              <w:top w:val="single" w:sz="4" w:space="0" w:color="000000"/>
              <w:start w:val="single" w:sz="4" w:space="0" w:color="000000"/>
              <w:bottom w:val="single" w:sz="4" w:space="0" w:color="000000"/>
              <w:end w:val="single" w:sz="4" w:space="0" w:color="000000"/>
            </w:tcBorders>
            <w:vAlign w:val="center"/>
          </w:tcPr>
          <w:p>
            <w:pPr>
              <w:pStyle w:val="Heading6"/>
              <w:widowControl/>
              <w:spacing w:before="225" w:after="75"/>
              <w:ind w:hanging="0" w:start="0"/>
              <w:jc w:val="center"/>
              <w:rPr>
                <w:rFonts w:cs="微软雅黑"/>
                <w:bCs/>
                <w:color w:val="000000"/>
                <w:sz w:val="21"/>
                <w:szCs w:val="21"/>
                <w:lang w:bidi="ar"/>
              </w:rPr>
            </w:pPr>
            <w:r>
              <w:rPr>
                <w:rFonts w:cs="微软雅黑" w:hint="eastAsia"/>
                <w:bCs/>
                <w:color w:val="000000"/>
                <w:sz w:val="21"/>
                <w:szCs w:val="21"/>
                <w:lang w:bidi="ar"/>
              </w:rPr>
              <w:t>选修课</w:t>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宋体;SimSun"/>
                <w:b w:val="false"/>
                <w:sz w:val="21"/>
                <w:szCs w:val="21"/>
              </w:rPr>
            </w:pPr>
            <w:r>
              <w:rPr>
                <w:rFonts w:cs="宋体;SimSun"/>
                <w:b w:val="false"/>
                <w:sz w:val="21"/>
                <w:szCs w:val="21"/>
              </w:rPr>
              <w:t>中国现当代文学前沿课题研究</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宋体;SimSun"/>
                <w:b w:val="false"/>
                <w:sz w:val="21"/>
                <w:szCs w:val="21"/>
              </w:rPr>
            </w:pPr>
            <w:r>
              <w:rPr>
                <w:rFonts w:cs="宋体;SimSun"/>
                <w:b w:val="false"/>
                <w:sz w:val="21"/>
                <w:szCs w:val="21"/>
              </w:rPr>
              <w:t>中国古代诗歌发展史</w:t>
            </w:r>
          </w:p>
        </w:tc>
      </w:tr>
      <w:tr>
        <w:trPr>
          <w:trHeight w:val="532" w:hRule="atLeast"/>
        </w:trPr>
        <w:tc>
          <w:tcPr>
            <w:tcW w:w="1978" w:type="dxa"/>
            <w:vMerge w:val="continue"/>
            <w:tcBorders>
              <w:top w:val="single" w:sz="4" w:space="0" w:color="000000"/>
              <w:start w:val="single" w:sz="4" w:space="0" w:color="000000"/>
              <w:bottom w:val="single" w:sz="4" w:space="0" w:color="000000"/>
              <w:end w:val="single" w:sz="4" w:space="0" w:color="000000"/>
            </w:tcBorders>
            <w:vAlign w:val="center"/>
          </w:tcPr>
          <w:p>
            <w:pPr>
              <w:pStyle w:val="Heading6"/>
              <w:widowControl/>
              <w:numPr>
                <w:ilvl w:val="0"/>
                <w:numId w:val="0"/>
              </w:numPr>
              <w:snapToGrid w:val="false"/>
              <w:spacing w:before="225" w:after="75"/>
              <w:ind w:hanging="0" w:start="0"/>
              <w:jc w:val="center"/>
              <w:rPr>
                <w:rFonts w:cs="微软雅黑" w:hint="eastAsia"/>
                <w:bCs/>
                <w:color w:val="000000"/>
                <w:sz w:val="21"/>
                <w:szCs w:val="21"/>
                <w:lang w:bidi="ar"/>
              </w:rPr>
            </w:pPr>
            <w:r>
              <w:rPr>
                <w:rFonts w:cs="微软雅黑" w:hint="eastAsia"/>
                <w:b w:val="false"/>
                <w:bCs/>
                <w:color w:val="000000"/>
                <w:kern w:val="0"/>
                <w:sz w:val="21"/>
                <w:szCs w:val="21"/>
                <w:lang w:bidi="ar"/>
              </w:rPr>
            </w:r>
          </w:p>
        </w:tc>
        <w:tc>
          <w:tcPr>
            <w:tcW w:w="3626" w:type="dxa"/>
            <w:tcBorders>
              <w:top w:val="single" w:sz="4" w:space="0" w:color="000000"/>
              <w:start w:val="single" w:sz="4" w:space="0" w:color="000000"/>
              <w:bottom w:val="single" w:sz="4" w:space="0" w:color="000000"/>
              <w:end w:val="single" w:sz="4" w:space="0" w:color="000000"/>
            </w:tcBorders>
          </w:tcPr>
          <w:p>
            <w:pPr>
              <w:pStyle w:val="Heading6"/>
              <w:widowControl/>
              <w:spacing w:before="225" w:after="75"/>
              <w:ind w:hanging="0" w:start="0"/>
              <w:rPr>
                <w:rFonts w:cs="宋体;SimSun"/>
                <w:b w:val="false"/>
                <w:sz w:val="21"/>
                <w:szCs w:val="21"/>
              </w:rPr>
            </w:pPr>
            <w:r>
              <w:rPr>
                <w:rFonts w:cs="宋体;SimSun"/>
                <w:b w:val="false"/>
                <w:sz w:val="21"/>
                <w:szCs w:val="21"/>
              </w:rPr>
              <w:t>西方现代批评中的经典文学诠释</w:t>
            </w:r>
          </w:p>
        </w:tc>
        <w:tc>
          <w:tcPr>
            <w:tcW w:w="3000" w:type="dxa"/>
            <w:tcBorders>
              <w:top w:val="single" w:sz="4" w:space="0" w:color="000000"/>
              <w:start w:val="single" w:sz="4" w:space="0" w:color="000000"/>
              <w:bottom w:val="single" w:sz="4" w:space="0" w:color="000000"/>
              <w:end w:val="single" w:sz="4" w:space="0" w:color="000000"/>
            </w:tcBorders>
          </w:tcPr>
          <w:p>
            <w:pPr>
              <w:pStyle w:val="Heading6"/>
              <w:widowControl/>
              <w:snapToGrid w:val="false"/>
              <w:spacing w:before="225" w:after="75"/>
              <w:ind w:hanging="0" w:start="0"/>
              <w:rPr>
                <w:rFonts w:cs="宋体;SimSun"/>
                <w:b w:val="false"/>
                <w:sz w:val="21"/>
                <w:szCs w:val="21"/>
              </w:rPr>
            </w:pPr>
            <w:r>
              <w:rPr>
                <w:rFonts w:cs="宋体;SimSun"/>
                <w:b w:val="false"/>
                <w:sz w:val="21"/>
                <w:szCs w:val="21"/>
              </w:rPr>
            </w:r>
          </w:p>
        </w:tc>
      </w:tr>
    </w:tbl>
    <w:p>
      <w:pPr>
        <w:pStyle w:val="Style20"/>
        <w:spacing w:lineRule="exact" w:line="500" w:before="100" w:after="100"/>
        <w:contextualSpacing/>
        <w:jc w:val="center"/>
        <w:rPr>
          <w:rFonts w:hint="eastAsia"/>
          <w:sz w:val="21"/>
          <w:szCs w:val="21"/>
        </w:rPr>
      </w:pPr>
      <w:r>
        <w:rPr>
          <w:rFonts w:hint="eastAsia"/>
          <w:sz w:val="21"/>
          <w:szCs w:val="21"/>
        </w:rPr>
        <w:t>注：具体请参照实际教学</w:t>
      </w:r>
    </w:p>
    <w:p>
      <w:pPr>
        <w:pStyle w:val="Style20"/>
        <w:spacing w:lineRule="exact" w:line="500" w:before="100" w:after="100"/>
        <w:contextualSpacing/>
        <w:jc w:val="both"/>
        <w:rPr>
          <w:rFonts w:hint="eastAsia"/>
          <w:sz w:val="21"/>
          <w:szCs w:val="21"/>
        </w:rPr>
      </w:pPr>
      <w:r>
        <w:rPr>
          <w:rFonts w:hint="eastAsia"/>
          <w:sz w:val="21"/>
          <w:szCs w:val="21"/>
        </w:rPr>
      </w:r>
    </w:p>
    <w:p>
      <w:pPr>
        <w:pStyle w:val="Style20"/>
        <w:spacing w:lineRule="exact" w:line="500" w:before="100" w:after="100"/>
        <w:contextualSpacing/>
        <w:rPr>
          <w:b/>
          <w:color w:val="C00000"/>
          <w:sz w:val="21"/>
          <w:szCs w:val="21"/>
        </w:rPr>
      </w:pPr>
      <w:r>
        <w:rPr>
          <w:rFonts w:hint="eastAsia"/>
          <w:b/>
          <w:color w:val="C00000"/>
          <w:sz w:val="21"/>
          <w:szCs w:val="21"/>
        </w:rPr>
        <w:t>三</w:t>
      </w:r>
      <w:r>
        <w:rPr>
          <w:b/>
          <w:color w:val="C00000"/>
          <w:sz w:val="21"/>
          <w:szCs w:val="21"/>
        </w:rPr>
        <w:t>、教学办法</w:t>
      </w:r>
    </w:p>
    <w:p>
      <w:pPr>
        <w:pStyle w:val="Style20"/>
        <w:spacing w:lineRule="exact" w:line="500" w:before="100" w:after="100"/>
        <w:ind w:firstLine="420" w:end="0"/>
        <w:contextualSpacing/>
        <w:rPr>
          <w:sz w:val="21"/>
          <w:szCs w:val="21"/>
        </w:rPr>
      </w:pPr>
      <w:r>
        <w:rPr>
          <w:sz w:val="21"/>
          <w:szCs w:val="21"/>
        </w:rPr>
        <w:t>1</w:t>
      </w:r>
      <w:r>
        <w:rPr>
          <w:sz w:val="21"/>
          <w:szCs w:val="21"/>
        </w:rPr>
        <w:t>、线上线下全程同步的方式</w:t>
      </w:r>
      <w:r>
        <w:rPr>
          <w:sz w:val="21"/>
          <w:szCs w:val="21"/>
        </w:rPr>
        <w:t>(</w:t>
      </w:r>
      <w:r>
        <w:rPr>
          <w:sz w:val="21"/>
          <w:szCs w:val="21"/>
        </w:rPr>
        <w:t>无需到校上课</w:t>
      </w:r>
      <w:r>
        <w:rPr>
          <w:sz w:val="21"/>
          <w:szCs w:val="21"/>
        </w:rPr>
        <w:t>)</w:t>
      </w:r>
      <w:r>
        <w:rPr>
          <w:sz w:val="21"/>
          <w:szCs w:val="21"/>
        </w:rPr>
        <w:t>， 非北京地区与北京同步线上授课的教学方式。</w:t>
      </w:r>
    </w:p>
    <w:p>
      <w:pPr>
        <w:pStyle w:val="Style20"/>
        <w:spacing w:lineRule="exact" w:line="500" w:before="100" w:after="100"/>
        <w:ind w:firstLine="420" w:end="0"/>
        <w:contextualSpacing/>
        <w:rPr>
          <w:sz w:val="21"/>
          <w:szCs w:val="21"/>
        </w:rPr>
      </w:pPr>
      <w:r>
        <w:rPr>
          <w:sz w:val="21"/>
          <w:szCs w:val="21"/>
        </w:rPr>
        <w:t>2</w:t>
      </w:r>
      <w:r>
        <w:rPr>
          <w:sz w:val="21"/>
          <w:szCs w:val="21"/>
        </w:rPr>
        <w:t>、每月选择周末集中授课（寒暑假除外）。</w:t>
      </w:r>
    </w:p>
    <w:p>
      <w:pPr>
        <w:pStyle w:val="Style20"/>
        <w:spacing w:lineRule="exact" w:line="500" w:before="100" w:after="100"/>
        <w:ind w:firstLine="420" w:end="0"/>
        <w:contextualSpacing/>
        <w:rPr>
          <w:sz w:val="21"/>
          <w:szCs w:val="21"/>
        </w:rPr>
      </w:pPr>
      <w:r>
        <w:rPr>
          <w:sz w:val="21"/>
          <w:szCs w:val="21"/>
        </w:rPr>
      </w:r>
    </w:p>
    <w:p>
      <w:pPr>
        <w:pStyle w:val="Style20"/>
        <w:spacing w:lineRule="exact" w:line="500" w:before="100" w:after="100"/>
        <w:contextualSpacing/>
        <w:rPr>
          <w:b/>
          <w:color w:val="C00000"/>
          <w:sz w:val="21"/>
          <w:szCs w:val="21"/>
        </w:rPr>
      </w:pPr>
      <w:r>
        <w:rPr>
          <w:rFonts w:hint="eastAsia"/>
          <w:b/>
          <w:color w:val="C00000"/>
          <w:sz w:val="21"/>
          <w:szCs w:val="21"/>
        </w:rPr>
        <w:t>四</w:t>
      </w:r>
      <w:r>
        <w:rPr>
          <w:b/>
          <w:color w:val="C00000"/>
          <w:sz w:val="21"/>
          <w:szCs w:val="21"/>
        </w:rPr>
        <w:t>、学习期限</w:t>
      </w:r>
    </w:p>
    <w:p>
      <w:pPr>
        <w:pStyle w:val="Style20"/>
        <w:spacing w:lineRule="exact" w:line="500" w:before="100" w:after="100"/>
        <w:ind w:firstLine="420" w:end="0"/>
        <w:contextualSpacing/>
        <w:rPr>
          <w:sz w:val="21"/>
          <w:szCs w:val="21"/>
        </w:rPr>
      </w:pPr>
      <w:r>
        <w:rPr>
          <w:sz w:val="21"/>
          <w:szCs w:val="21"/>
        </w:rPr>
        <w:t>学习时间：</w:t>
      </w:r>
      <w:r>
        <w:rPr>
          <w:rFonts w:hint="eastAsia"/>
          <w:sz w:val="21"/>
          <w:szCs w:val="21"/>
        </w:rPr>
        <w:t>1.5</w:t>
      </w:r>
      <w:r>
        <w:rPr>
          <w:rFonts w:hint="eastAsia"/>
          <w:sz w:val="21"/>
          <w:szCs w:val="21"/>
        </w:rPr>
        <w:t>年</w:t>
      </w:r>
      <w:r>
        <w:rPr>
          <w:sz w:val="21"/>
          <w:szCs w:val="21"/>
        </w:rPr>
        <w:t>。自开班之日起算。</w:t>
      </w:r>
    </w:p>
    <w:p>
      <w:pPr>
        <w:pStyle w:val="Style20"/>
        <w:spacing w:lineRule="exact" w:line="500" w:before="100" w:after="100"/>
        <w:ind w:firstLine="420" w:end="0"/>
        <w:contextualSpacing/>
        <w:rPr>
          <w:sz w:val="21"/>
          <w:szCs w:val="21"/>
        </w:rPr>
      </w:pPr>
      <w:r>
        <w:rPr>
          <w:sz w:val="21"/>
          <w:szCs w:val="21"/>
        </w:rPr>
        <w:t>上课时间：上午</w:t>
      </w:r>
      <w:r>
        <w:rPr>
          <w:sz w:val="21"/>
          <w:szCs w:val="21"/>
        </w:rPr>
        <w:t>9</w:t>
      </w:r>
      <w:r>
        <w:rPr>
          <w:sz w:val="21"/>
          <w:szCs w:val="21"/>
        </w:rPr>
        <w:t>：</w:t>
      </w:r>
      <w:r>
        <w:rPr>
          <w:sz w:val="21"/>
          <w:szCs w:val="21"/>
        </w:rPr>
        <w:t>00—</w:t>
      </w:r>
      <w:r>
        <w:rPr>
          <w:sz w:val="21"/>
          <w:szCs w:val="21"/>
        </w:rPr>
        <w:t>下午</w:t>
      </w:r>
      <w:r>
        <w:rPr>
          <w:sz w:val="21"/>
          <w:szCs w:val="21"/>
        </w:rPr>
        <w:t>16</w:t>
      </w:r>
      <w:r>
        <w:rPr>
          <w:sz w:val="21"/>
          <w:szCs w:val="21"/>
        </w:rPr>
        <w:t>：</w:t>
      </w:r>
      <w:r>
        <w:rPr>
          <w:sz w:val="21"/>
          <w:szCs w:val="21"/>
        </w:rPr>
        <w:t>30</w:t>
      </w:r>
      <w:r>
        <w:rPr>
          <w:sz w:val="21"/>
          <w:szCs w:val="21"/>
        </w:rPr>
        <w:t>（午休时间约为</w:t>
      </w:r>
      <w:r>
        <w:rPr>
          <w:sz w:val="21"/>
          <w:szCs w:val="21"/>
        </w:rPr>
        <w:t>1.5</w:t>
      </w:r>
      <w:r>
        <w:rPr>
          <w:sz w:val="21"/>
          <w:szCs w:val="21"/>
        </w:rPr>
        <w:t>小时）</w:t>
      </w:r>
    </w:p>
    <w:p>
      <w:pPr>
        <w:pStyle w:val="Style20"/>
        <w:spacing w:lineRule="exact" w:line="500" w:before="100" w:after="100"/>
        <w:ind w:firstLine="420" w:end="0"/>
        <w:contextualSpacing/>
        <w:rPr>
          <w:rFonts w:hint="eastAsia"/>
          <w:sz w:val="21"/>
          <w:szCs w:val="21"/>
        </w:rPr>
      </w:pPr>
      <w:r>
        <w:rPr>
          <w:rFonts w:hint="eastAsia"/>
          <w:sz w:val="21"/>
          <w:szCs w:val="21"/>
        </w:rPr>
      </w:r>
    </w:p>
    <w:p>
      <w:pPr>
        <w:pStyle w:val="Style20"/>
        <w:spacing w:lineRule="exact" w:line="500" w:before="100" w:after="100"/>
        <w:contextualSpacing/>
        <w:rPr>
          <w:b/>
          <w:color w:val="C00000"/>
          <w:sz w:val="21"/>
          <w:szCs w:val="21"/>
        </w:rPr>
      </w:pPr>
      <w:r>
        <w:rPr>
          <w:rFonts w:hint="eastAsia"/>
          <w:b/>
          <w:color w:val="C00000"/>
          <w:sz w:val="21"/>
          <w:szCs w:val="21"/>
        </w:rPr>
        <w:t>五</w:t>
      </w:r>
      <w:r>
        <w:rPr>
          <w:b/>
          <w:color w:val="C00000"/>
          <w:sz w:val="21"/>
          <w:szCs w:val="21"/>
        </w:rPr>
        <w:t>、报名条件及报名手续</w:t>
      </w:r>
    </w:p>
    <w:p>
      <w:pPr>
        <w:pStyle w:val="Style20"/>
        <w:spacing w:lineRule="exact" w:line="500" w:before="100" w:after="100"/>
        <w:contextualSpacing/>
        <w:rPr>
          <w:rFonts w:hint="eastAsia"/>
          <w:sz w:val="21"/>
          <w:szCs w:val="21"/>
        </w:rPr>
      </w:pPr>
      <w:r>
        <w:rPr>
          <w:sz w:val="21"/>
          <w:szCs w:val="21"/>
        </w:rPr>
        <w:t>　</w:t>
      </w:r>
      <w:r>
        <w:rPr>
          <w:rFonts w:hint="eastAsia"/>
          <w:sz w:val="21"/>
          <w:szCs w:val="21"/>
        </w:rPr>
        <w:t>报名条件：</w:t>
      </w:r>
    </w:p>
    <w:p>
      <w:pPr>
        <w:pStyle w:val="Style20"/>
        <w:spacing w:lineRule="exact" w:line="500" w:before="100" w:after="100"/>
        <w:ind w:firstLineChars="200" w:startChars="0" w:start="0" w:endChars="0" w:end="0"/>
        <w:contextualSpacing/>
        <w:rPr>
          <w:sz w:val="21"/>
          <w:szCs w:val="21"/>
        </w:rPr>
      </w:pPr>
      <w:r>
        <w:rPr>
          <w:rFonts w:hint="eastAsia"/>
          <w:sz w:val="21"/>
          <w:szCs w:val="21"/>
        </w:rPr>
        <w:t>1</w:t>
      </w:r>
      <w:r>
        <w:rPr>
          <w:rFonts w:hint="eastAsia"/>
          <w:sz w:val="21"/>
          <w:szCs w:val="21"/>
        </w:rPr>
        <w:t>、遵纪守法，品行端正，身体健康，能坚持在职学习者；</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2</w:t>
      </w:r>
      <w:r>
        <w:rPr>
          <w:rFonts w:hint="eastAsia"/>
          <w:sz w:val="21"/>
          <w:szCs w:val="21"/>
        </w:rPr>
        <w:t>、受教育背景，符合下列条件之一者：大学本科毕业，并获得学士学位，符合入学要求。</w:t>
      </w:r>
    </w:p>
    <w:p>
      <w:pPr>
        <w:pStyle w:val="Style20"/>
        <w:spacing w:lineRule="exact" w:line="500" w:before="100" w:after="100"/>
        <w:ind w:firstLineChars="200" w:startChars="0" w:start="0" w:endChars="0" w:end="0"/>
        <w:contextualSpacing/>
        <w:rPr>
          <w:rFonts w:hint="eastAsia"/>
          <w:sz w:val="21"/>
          <w:szCs w:val="21"/>
        </w:rPr>
      </w:pPr>
      <w:r>
        <w:rPr>
          <w:rFonts w:hint="eastAsia"/>
          <w:sz w:val="21"/>
          <w:szCs w:val="21"/>
        </w:rPr>
        <w:t>3</w:t>
      </w:r>
      <w:r>
        <w:rPr>
          <w:rFonts w:hint="eastAsia"/>
          <w:sz w:val="21"/>
          <w:szCs w:val="21"/>
        </w:rPr>
        <w:t>、大专学历，旨在提高本人业务素质和综合能力，若确实具有一定学术水平，经学院审核认可，也可参加在职课程培训班的学习。</w:t>
      </w:r>
    </w:p>
    <w:p>
      <w:pPr>
        <w:pStyle w:val="Style20"/>
        <w:spacing w:lineRule="exact" w:line="500" w:before="100" w:after="100"/>
        <w:contextualSpacing/>
        <w:rPr>
          <w:sz w:val="21"/>
          <w:szCs w:val="21"/>
        </w:rPr>
      </w:pPr>
      <w:r>
        <w:rPr>
          <w:sz w:val="21"/>
          <w:szCs w:val="21"/>
        </w:rPr>
        <w:t>　报名手续：</w:t>
      </w:r>
    </w:p>
    <w:p>
      <w:pPr>
        <w:pStyle w:val="Style20"/>
        <w:spacing w:lineRule="exact" w:line="500" w:before="100" w:after="100"/>
        <w:ind w:firstLineChars="300" w:startChars="0" w:start="0" w:endChars="0" w:end="0"/>
        <w:contextualSpacing/>
        <w:rPr>
          <w:rFonts w:hint="eastAsia"/>
          <w:sz w:val="21"/>
          <w:szCs w:val="21"/>
        </w:rPr>
      </w:pPr>
      <w:r>
        <w:rPr>
          <w:rFonts w:hint="eastAsia"/>
          <w:sz w:val="21"/>
          <w:szCs w:val="21"/>
        </w:rPr>
        <w:t>（</w:t>
      </w:r>
      <w:r>
        <w:rPr>
          <w:rFonts w:hint="eastAsia"/>
          <w:sz w:val="21"/>
          <w:szCs w:val="21"/>
        </w:rPr>
        <w:t>1</w:t>
      </w:r>
      <w:r>
        <w:rPr>
          <w:rFonts w:hint="eastAsia"/>
          <w:sz w:val="21"/>
          <w:szCs w:val="21"/>
        </w:rPr>
        <w:t>）《文学院在职课程培训班入学登记表》。</w:t>
      </w:r>
    </w:p>
    <w:p>
      <w:pPr>
        <w:pStyle w:val="Style20"/>
        <w:spacing w:lineRule="exact" w:line="500" w:before="100" w:after="100"/>
        <w:ind w:firstLineChars="300" w:startChars="0" w:start="0" w:endChars="0" w:end="0"/>
        <w:contextualSpacing/>
        <w:rPr>
          <w:rFonts w:hint="eastAsia"/>
          <w:sz w:val="21"/>
          <w:szCs w:val="21"/>
        </w:rPr>
      </w:pPr>
      <w:r>
        <w:rPr>
          <w:rFonts w:hint="eastAsia"/>
          <w:sz w:val="21"/>
          <w:szCs w:val="21"/>
        </w:rPr>
        <w:t>（</w:t>
      </w:r>
      <w:r>
        <w:rPr>
          <w:rFonts w:hint="eastAsia"/>
          <w:sz w:val="21"/>
          <w:szCs w:val="21"/>
        </w:rPr>
        <w:t>2</w:t>
      </w:r>
      <w:r>
        <w:rPr>
          <w:rFonts w:hint="eastAsia"/>
          <w:sz w:val="21"/>
          <w:szCs w:val="21"/>
        </w:rPr>
        <w:t>）本人最后学历证书、学位证书、身份证三个证书复印件各一份。</w:t>
      </w:r>
    </w:p>
    <w:p>
      <w:pPr>
        <w:pStyle w:val="Style20"/>
        <w:spacing w:lineRule="exact" w:line="500" w:before="100" w:after="100"/>
        <w:ind w:firstLineChars="300" w:startChars="0" w:start="0" w:endChars="0" w:end="0"/>
        <w:contextualSpacing/>
        <w:rPr>
          <w:rFonts w:hint="eastAsia"/>
          <w:sz w:val="21"/>
          <w:szCs w:val="21"/>
        </w:rPr>
      </w:pPr>
      <w:r>
        <w:rPr>
          <w:rFonts w:hint="eastAsia"/>
          <w:sz w:val="21"/>
          <w:szCs w:val="21"/>
        </w:rPr>
        <w:t>（</w:t>
      </w:r>
      <w:r>
        <w:rPr>
          <w:rFonts w:hint="eastAsia"/>
          <w:sz w:val="21"/>
          <w:szCs w:val="21"/>
        </w:rPr>
        <w:t>3</w:t>
      </w:r>
      <w:r>
        <w:rPr>
          <w:rFonts w:hint="eastAsia"/>
          <w:sz w:val="21"/>
          <w:szCs w:val="21"/>
        </w:rPr>
        <w:t>）</w:t>
      </w:r>
      <w:r>
        <w:rPr>
          <w:rFonts w:hint="eastAsia"/>
          <w:sz w:val="21"/>
          <w:szCs w:val="21"/>
        </w:rPr>
        <w:t>2</w:t>
      </w:r>
      <w:r>
        <w:rPr>
          <w:rFonts w:hint="eastAsia"/>
          <w:sz w:val="21"/>
          <w:szCs w:val="21"/>
        </w:rPr>
        <w:t>张</w:t>
      </w:r>
      <w:r>
        <w:rPr>
          <w:rFonts w:hint="eastAsia"/>
          <w:sz w:val="21"/>
          <w:szCs w:val="21"/>
        </w:rPr>
        <w:t>1</w:t>
      </w:r>
      <w:r>
        <w:rPr>
          <w:rFonts w:hint="eastAsia"/>
          <w:sz w:val="21"/>
          <w:szCs w:val="21"/>
        </w:rPr>
        <w:t>寸白底彩色证件照。</w:t>
      </w:r>
    </w:p>
    <w:p>
      <w:pPr>
        <w:pStyle w:val="Style20"/>
        <w:spacing w:lineRule="exact" w:line="500" w:before="100" w:after="100"/>
        <w:ind w:firstLineChars="300" w:startChars="0" w:start="0" w:endChars="0" w:end="0"/>
        <w:contextualSpacing/>
        <w:rPr>
          <w:rFonts w:hint="eastAsia"/>
          <w:sz w:val="21"/>
          <w:szCs w:val="21"/>
        </w:rPr>
      </w:pPr>
      <w:r>
        <w:rPr>
          <w:rFonts w:hint="eastAsia"/>
          <w:sz w:val="21"/>
          <w:szCs w:val="21"/>
        </w:rPr>
        <w:t> </w:t>
      </w:r>
    </w:p>
    <w:p>
      <w:pPr>
        <w:pStyle w:val="Style20"/>
        <w:spacing w:lineRule="exact" w:line="500" w:before="100" w:after="100"/>
        <w:contextualSpacing/>
        <w:rPr>
          <w:sz w:val="21"/>
          <w:szCs w:val="21"/>
        </w:rPr>
      </w:pPr>
      <w:r>
        <w:rPr>
          <w:rFonts w:hint="eastAsia"/>
          <w:b/>
          <w:color w:val="C00000"/>
          <w:sz w:val="21"/>
          <w:szCs w:val="21"/>
        </w:rPr>
        <w:t>六</w:t>
      </w:r>
      <w:r>
        <w:rPr>
          <w:b/>
          <w:color w:val="C00000"/>
          <w:sz w:val="21"/>
          <w:szCs w:val="21"/>
        </w:rPr>
        <w:t>、收费标准</w:t>
      </w:r>
    </w:p>
    <w:p>
      <w:pPr>
        <w:pStyle w:val="Style20"/>
        <w:spacing w:lineRule="exact" w:line="500" w:before="100" w:after="100"/>
        <w:ind w:firstLine="420" w:end="0"/>
        <w:contextualSpacing/>
        <w:rPr>
          <w:sz w:val="21"/>
          <w:szCs w:val="21"/>
        </w:rPr>
      </w:pPr>
      <w:r>
        <w:rPr>
          <w:sz w:val="21"/>
          <w:szCs w:val="21"/>
        </w:rPr>
        <w:t>课程培训费每人</w:t>
      </w:r>
      <w:r>
        <w:rPr>
          <w:sz w:val="21"/>
          <w:szCs w:val="21"/>
        </w:rPr>
        <w:t>3</w:t>
      </w:r>
      <w:r>
        <w:rPr>
          <w:rFonts w:hint="eastAsia"/>
          <w:sz w:val="21"/>
          <w:szCs w:val="21"/>
        </w:rPr>
        <w:t>8</w:t>
      </w:r>
      <w:r>
        <w:rPr>
          <w:sz w:val="21"/>
          <w:szCs w:val="21"/>
        </w:rPr>
        <w:t>000</w:t>
      </w:r>
      <w:r>
        <w:rPr>
          <w:sz w:val="21"/>
          <w:szCs w:val="21"/>
        </w:rPr>
        <w:t>元，一次交清。课程培训期间资料费、食宿费、差旅费由本人自理。</w:t>
      </w:r>
    </w:p>
    <w:p>
      <w:pPr>
        <w:pStyle w:val="Style20"/>
        <w:spacing w:lineRule="exact" w:line="500" w:before="100" w:after="100"/>
        <w:contextualSpacing/>
        <w:rPr>
          <w:b/>
          <w:color w:val="C00000"/>
          <w:sz w:val="21"/>
          <w:szCs w:val="21"/>
        </w:rPr>
      </w:pPr>
      <w:r>
        <w:rPr>
          <w:rFonts w:hint="eastAsia"/>
          <w:b/>
          <w:color w:val="C00000"/>
          <w:sz w:val="21"/>
          <w:szCs w:val="21"/>
        </w:rPr>
        <w:t>七</w:t>
      </w:r>
      <w:r>
        <w:rPr>
          <w:b/>
          <w:color w:val="C00000"/>
          <w:sz w:val="21"/>
          <w:szCs w:val="21"/>
        </w:rPr>
        <w:t>、缴费方式</w:t>
      </w:r>
    </w:p>
    <w:p>
      <w:pPr>
        <w:pStyle w:val="Style20"/>
        <w:spacing w:lineRule="exact" w:line="500" w:before="100" w:after="100"/>
        <w:ind w:firstLine="420" w:end="0"/>
        <w:contextualSpacing/>
        <w:rPr>
          <w:sz w:val="21"/>
          <w:szCs w:val="21"/>
        </w:rPr>
      </w:pPr>
      <w:r>
        <w:rPr>
          <w:sz w:val="21"/>
          <w:szCs w:val="21"/>
        </w:rPr>
        <w:t>个人账户缴费：点击“人大培训网”发布简章的缴费链接，通过学校电子收费系统缴费。　</w:t>
      </w:r>
    </w:p>
    <w:p>
      <w:pPr>
        <w:pStyle w:val="Style20"/>
        <w:spacing w:lineRule="exact" w:line="500" w:before="100" w:after="100"/>
        <w:ind w:firstLine="420" w:end="0"/>
        <w:contextualSpacing/>
        <w:rPr>
          <w:sz w:val="21"/>
          <w:szCs w:val="21"/>
        </w:rPr>
      </w:pPr>
      <w:r>
        <w:rPr>
          <w:sz w:val="21"/>
          <w:szCs w:val="21"/>
        </w:rPr>
      </w:r>
    </w:p>
    <w:p>
      <w:pPr>
        <w:pStyle w:val="Style20"/>
        <w:spacing w:lineRule="exact" w:line="500" w:before="100" w:after="100"/>
        <w:contextualSpacing/>
        <w:rPr>
          <w:b/>
          <w:color w:val="C00000"/>
          <w:sz w:val="21"/>
          <w:szCs w:val="21"/>
        </w:rPr>
      </w:pPr>
      <w:r>
        <w:rPr>
          <w:rFonts w:hint="eastAsia"/>
          <w:b/>
          <w:color w:val="C00000"/>
          <w:sz w:val="21"/>
          <w:szCs w:val="21"/>
        </w:rPr>
        <w:t>八</w:t>
      </w:r>
      <w:r>
        <w:rPr>
          <w:b/>
          <w:color w:val="C00000"/>
          <w:sz w:val="21"/>
          <w:szCs w:val="21"/>
        </w:rPr>
        <w:t>、获取证书</w:t>
      </w:r>
    </w:p>
    <w:p>
      <w:pPr>
        <w:pStyle w:val="Style20"/>
        <w:spacing w:lineRule="exact" w:line="500" w:before="100" w:after="100"/>
        <w:ind w:firstLineChars="200" w:startChars="0" w:start="0" w:endChars="0" w:end="0"/>
        <w:contextualSpacing/>
        <w:rPr>
          <w:rFonts w:hint="eastAsia"/>
          <w:sz w:val="21"/>
          <w:szCs w:val="21"/>
        </w:rPr>
      </w:pPr>
      <w:r>
        <w:rPr>
          <w:sz w:val="21"/>
          <w:szCs w:val="21"/>
        </w:rPr>
        <w:t>完成教学计划规定的全部课程，考核合格者可以结业，颁发《中国人民大学教育培训结业证书》。</w:t>
      </w:r>
    </w:p>
    <w:sectPr>
      <w:headerReference w:type="default" r:id="rId3"/>
      <w:type w:val="nextPage"/>
      <w:pgSz w:w="11906" w:h="16838"/>
      <w:pgMar w:left="1800" w:right="1800" w:gutter="0" w:header="851" w:top="1440" w:footer="0" w:bottom="144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6"/>
    <w:family w:val="roman"/>
    <w:pitch w:val="variable"/>
  </w:font>
  <w:font w:name="宋体">
    <w:altName w:val="SimSun"/>
    <w:charset w:val="86"/>
    <w:family w:val="auto"/>
    <w:pitch w:val="variable"/>
  </w:font>
  <w:font w:name="Liberation Sans">
    <w:altName w:val="Arial"/>
    <w:charset w:val="86"/>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lang w:val="zh-CN" w:eastAsia="zh-CN"/>
      </w:rPr>
      <w:drawing>
        <wp:anchor distT="0" distB="0" distL="114935" distR="114935" simplePos="0" relativeHeight="4" behindDoc="1" locked="0" layoutInCell="0" allowOverlap="1">
          <wp:simplePos x="0" y="0"/>
          <wp:positionH relativeFrom="margin">
            <wp:align>center</wp:align>
          </wp:positionH>
          <wp:positionV relativeFrom="margin">
            <wp:align>center</wp:align>
          </wp:positionV>
          <wp:extent cx="4472305" cy="4507865"/>
          <wp:effectExtent l="0" t="0" r="0" b="0"/>
          <wp:wrapNone/>
          <wp:docPr id="3" name="WordPictureWatermark1058209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58209720"/>
                  <pic:cNvPicPr>
                    <a:picLocks noChangeAspect="1" noChangeArrowheads="1"/>
                  </pic:cNvPicPr>
                </pic:nvPicPr>
                <pic:blipFill>
                  <a:blip r:embed="rId1">
                    <a:lum bright="70000" contrast="-70000"/>
                  </a:blip>
                  <a:srcRect l="-6" t="-6" r="-6" b="-6"/>
                  <a:stretch>
                    <a:fillRect/>
                  </a:stretch>
                </pic:blipFill>
                <pic:spPr bwMode="auto">
                  <a:xfrm>
                    <a:off x="0" y="0"/>
                    <a:ext cx="4472305" cy="450786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pStyle w:val="Heading5"/>
      <w:suff w:val="nothing"/>
      <w:lvlText w:val=""/>
      <w:lvlJc w:val="start"/>
      <w:pPr>
        <w:tabs>
          <w:tab w:val="num" w:pos="0"/>
        </w:tabs>
        <w:ind w:start="0" w:hanging="0"/>
      </w:pPr>
    </w:lvl>
    <w:lvl w:ilvl="5">
      <w:start w:val="1"/>
      <w:numFmt w:val="none"/>
      <w:pStyle w:val="Heading6"/>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chineseCountingThousand"/>
      <w:suff w:val="nothing"/>
      <w:lvlText w:val="%1、"/>
      <w:lvlJc w:val="start"/>
      <w:pPr>
        <w:tabs>
          <w:tab w:val="num" w:pos="0"/>
        </w:tabs>
        <w:ind w:start="0" w:hanging="0"/>
      </w:pPr>
      <w:rPr>
        <w:rFonts w:hint="eastAsia"/>
      </w:rPr>
    </w:lvl>
  </w:abstractNum>
  <w:abstractNum w:abstractNumId="3">
    <w:lvl w:ilvl="0">
      <w:start w:val="2"/>
      <w:numFmt w:val="chineseCountingThousand"/>
      <w:suff w:val="nothing"/>
      <w:lvlText w:val="%1、"/>
      <w:lvlJc w:val="start"/>
      <w:pPr>
        <w:tabs>
          <w:tab w:val="num" w:pos="0"/>
        </w:tabs>
        <w:ind w:start="0" w:hanging="0"/>
      </w:pPr>
      <w:rPr>
        <w:rFonts w:hint="eastAsia"/>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420"/>
  <w:autoHyphenation w:val="true"/>
  <w:hyphenationZone w:val="0"/>
  <w:compat>
    <w:doNotExpandShiftReturn/>
    <w:adjustLineHeightInTable/>
    <w:compatSetting w:name="compatibilityMode" w:uri="http://schemas.microsoft.com/office/word" w:val="11"/>
  </w:compat>
  <w:docVars>
    <w:docVar w:name="commondata" w:val="eyJoZGlkIjoiNGQ5ODQ5N2Q1NmI0ZDAwYTJiMTcyMmU3ZjhhMWE4NmEifQ=="/>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宋体" w:cs="Lucida Sans"/>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2"/>
      <w:lang w:bidi="ar-SA" w:val="en-US" w:eastAsia="zh-CN"/>
    </w:rPr>
  </w:style>
  <w:style w:type="paragraph" w:styleId="Heading5">
    <w:name w:val="heading 5"/>
    <w:basedOn w:val="Normal"/>
    <w:next w:val="Normal"/>
    <w:qFormat/>
    <w:pPr>
      <w:numPr>
        <w:ilvl w:val="4"/>
        <w:numId w:val="1"/>
      </w:numPr>
      <w:spacing w:before="100" w:after="100"/>
      <w:jc w:val="start"/>
      <w:outlineLvl w:val="4"/>
    </w:pPr>
    <w:rPr>
      <w:rFonts w:ascii="宋体;SimSun" w:hAnsi="宋体;SimSun" w:eastAsia="宋体;SimSun" w:cs="宋体;SimSun" w:hint="eastAsia"/>
      <w:b/>
      <w:bCs/>
      <w:kern w:val="0"/>
      <w:sz w:val="20"/>
      <w:szCs w:val="20"/>
      <w:lang w:bidi="ar"/>
    </w:rPr>
  </w:style>
  <w:style w:type="paragraph" w:styleId="Heading6">
    <w:name w:val="heading 6"/>
    <w:basedOn w:val="Normal"/>
    <w:next w:val="Normal"/>
    <w:qFormat/>
    <w:pPr>
      <w:numPr>
        <w:ilvl w:val="5"/>
        <w:numId w:val="1"/>
      </w:numPr>
      <w:spacing w:before="100" w:after="100"/>
      <w:jc w:val="start"/>
      <w:outlineLvl w:val="5"/>
    </w:pPr>
    <w:rPr>
      <w:rFonts w:ascii="宋体;SimSun" w:hAnsi="宋体;SimSun" w:cs="宋体;SimSun"/>
      <w:b/>
      <w:kern w:val="0"/>
      <w:sz w:val="15"/>
      <w:szCs w:val="15"/>
    </w:rPr>
  </w:style>
  <w:style w:type="character" w:styleId="WW8Num1z0">
    <w:name w:val="WW8Num1z0"/>
    <w:qFormat/>
    <w:rPr>
      <w:rFonts w:hint="eastAsia"/>
    </w:rPr>
  </w:style>
  <w:style w:type="character" w:styleId="WW8Num2z0">
    <w:name w:val="WW8Num2z0"/>
    <w:qFormat/>
    <w:rPr>
      <w:rFonts w:hint="eastAsia"/>
    </w:rPr>
  </w:style>
  <w:style w:type="character" w:styleId="Style12">
    <w:name w:val="默认段落字体"/>
    <w:qFormat/>
    <w:rPr/>
  </w:style>
  <w:style w:type="character" w:styleId="6">
    <w:name w:val="标题 6 字符"/>
    <w:qFormat/>
    <w:rPr>
      <w:rFonts w:ascii="宋体;SimSun" w:hAnsi="宋体;SimSun" w:cs="宋体;SimSun"/>
      <w:b/>
      <w:sz w:val="15"/>
      <w:szCs w:val="15"/>
    </w:rPr>
  </w:style>
  <w:style w:type="character" w:styleId="Style13">
    <w:name w:val="批注框文本 字符"/>
    <w:qFormat/>
    <w:rPr>
      <w:sz w:val="18"/>
      <w:szCs w:val="18"/>
    </w:rPr>
  </w:style>
  <w:style w:type="character" w:styleId="Style14">
    <w:name w:val="页脚 字符"/>
    <w:qFormat/>
    <w:rPr>
      <w:sz w:val="18"/>
      <w:szCs w:val="18"/>
    </w:rPr>
  </w:style>
  <w:style w:type="character" w:styleId="Style15">
    <w:name w:val="页眉 字符"/>
    <w:qFormat/>
    <w:rPr>
      <w:sz w:val="18"/>
      <w:szCs w:val="18"/>
    </w:rPr>
  </w:style>
  <w:style w:type="character" w:styleId="Emphasis">
    <w:name w:val="Emphasis"/>
    <w:qFormat/>
    <w:rPr>
      <w:i/>
    </w:rPr>
  </w:style>
  <w:style w:type="character" w:styleId="Hyperlink">
    <w:name w:val="Hyperlink"/>
    <w:rPr>
      <w:color w:val="0563C1"/>
      <w:u w:val="single"/>
    </w:rPr>
  </w:style>
  <w:style w:type="paragraph" w:styleId="Style16">
    <w:name w:val="标题样式"/>
    <w:basedOn w:val="Normal"/>
    <w:next w:val="BodyText"/>
    <w:qFormat/>
    <w:pPr>
      <w:keepNext w:val="true"/>
      <w:spacing w:before="240" w:after="120"/>
    </w:pPr>
    <w:rPr>
      <w:rFonts w:ascii="Liberation Sans" w:hAnsi="Liberation Sans" w:eastAsia="Noto Sans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7">
    <w:name w:val="索引"/>
    <w:basedOn w:val="Normal"/>
    <w:qFormat/>
    <w:pPr>
      <w:suppressLineNumbers/>
    </w:pPr>
    <w:rPr>
      <w:rFonts w:cs="Lucida Sans"/>
    </w:rPr>
  </w:style>
  <w:style w:type="paragraph" w:styleId="Style18">
    <w:name w:val="批注框文本"/>
    <w:basedOn w:val="Normal"/>
    <w:qFormat/>
    <w:pPr/>
    <w:rPr>
      <w:kern w:val="0"/>
      <w:sz w:val="18"/>
      <w:szCs w:val="18"/>
    </w:rPr>
  </w:style>
  <w:style w:type="paragraph" w:styleId="Style19">
    <w:name w:val="页眉与页脚"/>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kern w:val="0"/>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kern w:val="0"/>
      <w:sz w:val="18"/>
      <w:szCs w:val="18"/>
    </w:rPr>
  </w:style>
  <w:style w:type="paragraph" w:styleId="Style20">
    <w:name w:val="普通(网站)"/>
    <w:basedOn w:val="Normal"/>
    <w:qFormat/>
    <w:pPr>
      <w:widowControl/>
      <w:spacing w:before="100" w:after="100"/>
      <w:jc w:val="start"/>
    </w:pPr>
    <w:rPr>
      <w:rFonts w:ascii="宋体;SimSun" w:hAnsi="宋体;SimSun" w:eastAsia="宋体;SimSun" w:cs="宋体;SimSun"/>
      <w:kern w:val="0"/>
      <w:sz w:val="24"/>
      <w:szCs w:val="24"/>
    </w:rPr>
  </w:style>
  <w:style w:type="paragraph" w:styleId="Style21">
    <w:name w:val="表格内容"/>
    <w:basedOn w:val="Normal"/>
    <w:qFormat/>
    <w:pPr>
      <w:widowControl w:val="false"/>
      <w:suppressLineNumbers/>
    </w:pPr>
    <w:rPr/>
  </w:style>
  <w:style w:type="paragraph" w:styleId="Style22">
    <w:name w:val="表格标题"/>
    <w:basedOn w:val="Style21"/>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11</TotalTime>
  <Application>LibreOffice/26.2.5.2$Windows_X86_64 LibreOffice_project/cd7284b4cbbfeb507e630c1aac019f4157393acb</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2021-01-23T14:22:00Z</dcterms:created>
  <dc:creator>Administrator</dc:creator>
  <dc:description/>
  <cp:keywords/>
  <dc:language>zh-CN</dc:language>
  <cp:lastModifiedBy>方源 杨</cp:lastModifiedBy>
  <dcterms:modified xsi:type="dcterms:W3CDTF">2026-12-28T12:18:00Z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EBE88D9F3FB6438BAD35C1DCC266DA5D_13</vt:lpwstr>
  </property>
  <property fmtid="{D5CDD505-2E9C-101B-9397-08002B2CF9AE}" pid="3" name="KSOProductBuildVer">
    <vt:lpwstr>2052-12.1.0.16120</vt:lpwstr>
  </property>
  <property fmtid="{D5CDD505-2E9C-101B-9397-08002B2CF9AE}" pid="4" name="commondata">
    <vt:lpwstr>eyJoZGlkIjoiMjJkYmYyOGQwNjU2YTFjYjBlYWQzZDdlZjc2Nzk1ZWYifQ==</vt:lpwstr>
  </property>
</Properties>
</file>