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18"/>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18"/>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18"/>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年中国人民大学法学院民商法学专业</w:t>
      </w:r>
    </w:p>
    <w:p>
      <w:pPr>
        <w:pStyle w:val="Style18"/>
        <w:spacing w:lineRule="exact" w:line="500" w:before="100" w:after="100"/>
        <w:contextualSpacing/>
        <w:jc w:val="center"/>
        <w:rPr>
          <w:b/>
          <w:bCs/>
          <w:sz w:val="30"/>
          <w:szCs w:val="30"/>
        </w:rPr>
      </w:pPr>
      <w:r>
        <w:rPr>
          <w:b/>
          <w:bCs/>
          <w:sz w:val="30"/>
          <w:szCs w:val="30"/>
        </w:rPr>
        <w:t>在职课程培训班</w:t>
      </w:r>
    </w:p>
    <w:p>
      <w:pPr>
        <w:pStyle w:val="Style18"/>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18"/>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法政</w:t>
      </w:r>
      <w:r>
        <w:rPr>
          <w:color w:val="C00000"/>
          <w:sz w:val="21"/>
          <w:szCs w:val="21"/>
        </w:rPr>
        <w:t>]</w:t>
      </w:r>
      <w:r>
        <w:rPr>
          <w:sz w:val="21"/>
          <w:szCs w:val="21"/>
        </w:rPr>
        <w:t xml:space="preserve">      </w:t>
      </w:r>
      <w:r>
        <w:rPr>
          <w:sz w:val="21"/>
          <w:szCs w:val="21"/>
        </w:rPr>
        <w:t>培训费：</w:t>
      </w:r>
      <w:r>
        <w:rPr>
          <w:rFonts w:hint="eastAsia"/>
          <w:color w:val="C00000"/>
          <w:sz w:val="21"/>
          <w:szCs w:val="21"/>
        </w:rPr>
        <w:t>450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法</w:t>
      </w:r>
      <w:r>
        <w:rPr>
          <w:color w:val="C00000"/>
          <w:sz w:val="21"/>
          <w:szCs w:val="21"/>
        </w:rPr>
        <w:t>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18"/>
        <w:numPr>
          <w:ilvl w:val="0"/>
          <w:numId w:val="2"/>
        </w:numPr>
        <w:spacing w:lineRule="exact" w:line="500" w:before="100" w:after="280"/>
        <w:rPr>
          <w:sz w:val="21"/>
          <w:szCs w:val="21"/>
        </w:rPr>
      </w:pPr>
      <w:r>
        <w:rPr>
          <w:b/>
          <w:color w:val="C00000"/>
          <w:sz w:val="21"/>
          <w:szCs w:val="21"/>
        </w:rPr>
        <w:t>学院及专业优势简介</w:t>
      </w:r>
    </w:p>
    <w:p>
      <w:pPr>
        <w:pStyle w:val="Style18"/>
        <w:spacing w:lineRule="exact" w:line="500" w:before="100" w:after="100"/>
        <w:ind w:firstLineChars="200" w:startChars="0" w:start="0" w:endChars="0" w:end="0"/>
        <w:contextualSpacing/>
        <w:rPr>
          <w:sz w:val="21"/>
          <w:szCs w:val="21"/>
        </w:rPr>
      </w:pPr>
      <w:r>
        <w:rPr>
          <w:rFonts w:hint="eastAsia"/>
          <w:sz w:val="21"/>
          <w:szCs w:val="21"/>
        </w:rPr>
        <w:t>中国人民大学是中国一所著名的以人文社会科学为主的综合性大学，法学院是中国人民大学的主要学院之一。法学院的前身中国人民大学法律系成立于</w:t>
      </w:r>
      <w:r>
        <w:rPr>
          <w:rFonts w:hint="eastAsia"/>
          <w:sz w:val="21"/>
          <w:szCs w:val="21"/>
        </w:rPr>
        <w:t>1950</w:t>
      </w:r>
      <w:r>
        <w:rPr>
          <w:rFonts w:hint="eastAsia"/>
          <w:sz w:val="21"/>
          <w:szCs w:val="21"/>
        </w:rPr>
        <w:t>年，是新中国诞生后创立的第一所正规的高等法学教育机构，被誉为中国法学教育的“工作母机”和“法学家的摇篮”，成为引领法学教育的重镇、凝聚国内优秀法律人才的平台和沟通中外法学交流的窗口。</w:t>
      </w:r>
    </w:p>
    <w:p>
      <w:pPr>
        <w:pStyle w:val="Style18"/>
        <w:spacing w:lineRule="exact" w:line="500" w:before="100" w:after="100"/>
        <w:ind w:firstLineChars="200" w:startChars="0" w:start="0" w:endChars="0" w:end="0"/>
        <w:contextualSpacing/>
        <w:rPr>
          <w:rFonts w:hint="eastAsia"/>
          <w:sz w:val="21"/>
          <w:szCs w:val="21"/>
        </w:rPr>
      </w:pPr>
      <w:r>
        <w:rPr>
          <w:rFonts w:hint="eastAsia"/>
          <w:sz w:val="21"/>
          <w:szCs w:val="21"/>
        </w:rPr>
        <w:t>中国人民大学法学院为社会主义法制建设培养了大批优秀的法律人才，并为法学事业的振兴和繁荣做出了重大贡献。在教育部</w:t>
      </w:r>
      <w:r>
        <w:rPr>
          <w:rFonts w:hint="eastAsia"/>
          <w:sz w:val="21"/>
          <w:szCs w:val="21"/>
        </w:rPr>
        <w:t>2004</w:t>
      </w:r>
      <w:r>
        <w:rPr>
          <w:rFonts w:hint="eastAsia"/>
          <w:sz w:val="21"/>
          <w:szCs w:val="21"/>
        </w:rPr>
        <w:t>、</w:t>
      </w:r>
      <w:r>
        <w:rPr>
          <w:rFonts w:hint="eastAsia"/>
          <w:sz w:val="21"/>
          <w:szCs w:val="21"/>
        </w:rPr>
        <w:t>2009</w:t>
      </w:r>
      <w:r>
        <w:rPr>
          <w:rFonts w:hint="eastAsia"/>
          <w:sz w:val="21"/>
          <w:szCs w:val="21"/>
        </w:rPr>
        <w:t>、</w:t>
      </w:r>
      <w:r>
        <w:rPr>
          <w:rFonts w:hint="eastAsia"/>
          <w:sz w:val="21"/>
          <w:szCs w:val="21"/>
        </w:rPr>
        <w:t>2012</w:t>
      </w:r>
      <w:r>
        <w:rPr>
          <w:rFonts w:hint="eastAsia"/>
          <w:sz w:val="21"/>
          <w:szCs w:val="21"/>
        </w:rPr>
        <w:t>、</w:t>
      </w:r>
      <w:r>
        <w:rPr>
          <w:rFonts w:hint="eastAsia"/>
          <w:sz w:val="21"/>
          <w:szCs w:val="21"/>
        </w:rPr>
        <w:t>2017</w:t>
      </w:r>
      <w:r>
        <w:rPr>
          <w:rFonts w:hint="eastAsia"/>
          <w:sz w:val="21"/>
          <w:szCs w:val="21"/>
        </w:rPr>
        <w:t>年四次正式公布的全国一级学科评估排名中，中国人民大学法学院在全国法学学科中均排名第一。中国人民大学和法学学科分别进入了国家世界一流大学和一流学科（简称“双一流”）建设名单。</w:t>
      </w:r>
    </w:p>
    <w:p>
      <w:pPr>
        <w:pStyle w:val="Style18"/>
        <w:spacing w:lineRule="exact" w:line="500" w:before="100" w:after="100"/>
        <w:ind w:firstLineChars="200" w:startChars="0" w:start="0" w:endChars="0" w:end="0"/>
        <w:contextualSpacing/>
        <w:rPr>
          <w:sz w:val="21"/>
          <w:szCs w:val="21"/>
        </w:rPr>
      </w:pPr>
      <w:r>
        <w:rPr>
          <w:sz w:val="21"/>
          <w:szCs w:val="21"/>
        </w:rPr>
        <w:t>中国人民大学法学院师资力量雄厚，既有一批在国内外享有盛誉的资深法学家继续发挥着重要影响，更有一大批学术功底扎实，已在全国法律界和相关学科有影响的中青年法学家成为学科带头人和学术骨干。在职课程培训班授课教师均为授课效果好的中国人民大学法学院骨干教师和国内知名学者。</w:t>
      </w:r>
    </w:p>
    <w:p>
      <w:pPr>
        <w:pStyle w:val="Style18"/>
        <w:numPr>
          <w:ilvl w:val="0"/>
          <w:numId w:val="3"/>
        </w:numPr>
        <w:spacing w:lineRule="exact" w:line="500" w:before="100" w:after="280"/>
        <w:rPr>
          <w:rFonts w:hint="eastAsia"/>
          <w:b/>
          <w:color w:val="C00000"/>
          <w:sz w:val="21"/>
          <w:szCs w:val="21"/>
        </w:rPr>
      </w:pPr>
      <w:r>
        <w:rPr>
          <w:rFonts w:hint="eastAsia"/>
          <w:b/>
          <w:color w:val="C00000"/>
          <w:sz w:val="21"/>
          <w:szCs w:val="21"/>
        </w:rPr>
        <w:t>课程安排</w:t>
      </w:r>
    </w:p>
    <w:tbl>
      <w:tblPr>
        <w:tblW w:w="8500" w:type="dxa"/>
        <w:jc w:val="start"/>
        <w:tblInd w:w="0" w:type="dxa"/>
        <w:tblLayout w:type="fixed"/>
        <w:tblCellMar>
          <w:top w:w="15" w:type="dxa"/>
          <w:start w:w="15" w:type="dxa"/>
          <w:bottom w:w="15" w:type="dxa"/>
          <w:end w:w="15" w:type="dxa"/>
        </w:tblCellMar>
      </w:tblPr>
      <w:tblGrid>
        <w:gridCol w:w="3643"/>
        <w:gridCol w:w="2328"/>
        <w:gridCol w:w="2529"/>
      </w:tblGrid>
      <w:tr>
        <w:trPr>
          <w:trHeight w:val="495" w:hRule="atLeast"/>
        </w:trPr>
        <w:tc>
          <w:tcPr>
            <w:tcW w:w="8500"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color w:val="000000"/>
                <w:kern w:val="0"/>
                <w:sz w:val="21"/>
                <w:szCs w:val="21"/>
                <w:lang w:bidi="ar"/>
              </w:rPr>
            </w:pPr>
            <w:r>
              <w:rPr>
                <w:rFonts w:ascii="宋体" w:hAnsi="宋体" w:cs="宋体" w:hint="eastAsia"/>
                <w:b/>
                <w:bCs/>
                <w:color w:val="000000"/>
                <w:sz w:val="24"/>
                <w:szCs w:val="24"/>
              </w:rPr>
              <w:t>民商法专业课程设置</w:t>
            </w:r>
          </w:p>
        </w:tc>
      </w:tr>
      <w:tr>
        <w:trPr>
          <w:trHeight w:val="495" w:hRule="atLeast"/>
        </w:trPr>
        <w:tc>
          <w:tcPr>
            <w:tcW w:w="36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新时代中国特色社会主义理论与实践</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法律专业外语</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法学前沿</w:t>
            </w:r>
          </w:p>
        </w:tc>
      </w:tr>
      <w:tr>
        <w:trPr>
          <w:trHeight w:val="495" w:hRule="atLeast"/>
        </w:trPr>
        <w:tc>
          <w:tcPr>
            <w:tcW w:w="36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马克思主义与社会科学方法论</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法学研究方法论</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法律检索</w:t>
            </w:r>
          </w:p>
        </w:tc>
      </w:tr>
      <w:tr>
        <w:trPr>
          <w:trHeight w:val="495" w:hRule="atLeast"/>
        </w:trPr>
        <w:tc>
          <w:tcPr>
            <w:tcW w:w="36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专业论文写作指导（民法）</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中国宪法学</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中国刑法总论</w:t>
            </w:r>
          </w:p>
        </w:tc>
      </w:tr>
      <w:tr>
        <w:trPr>
          <w:trHeight w:val="495" w:hRule="atLeast"/>
        </w:trPr>
        <w:tc>
          <w:tcPr>
            <w:tcW w:w="36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中国古代法制史研究</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债和合同法</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物权法</w:t>
            </w:r>
          </w:p>
        </w:tc>
      </w:tr>
      <w:tr>
        <w:trPr>
          <w:trHeight w:val="495" w:hRule="atLeast"/>
        </w:trPr>
        <w:tc>
          <w:tcPr>
            <w:tcW w:w="36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婚姻家庭法与继承法</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公司法</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侵权责任法</w:t>
            </w:r>
          </w:p>
        </w:tc>
      </w:tr>
      <w:tr>
        <w:trPr>
          <w:trHeight w:val="506" w:hRule="atLeast"/>
        </w:trPr>
        <w:tc>
          <w:tcPr>
            <w:tcW w:w="364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劳动法</w:t>
            </w:r>
          </w:p>
        </w:tc>
        <w:tc>
          <w:tcPr>
            <w:tcW w:w="23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val="false"/>
                <w:bCs w:val="false"/>
                <w:color w:val="000000"/>
                <w:sz w:val="21"/>
                <w:szCs w:val="21"/>
              </w:rPr>
            </w:pPr>
            <w:r>
              <w:rPr>
                <w:rFonts w:hint="eastAsia"/>
                <w:color w:val="000000"/>
                <w:sz w:val="21"/>
                <w:szCs w:val="21"/>
              </w:rPr>
              <w:t>民法</w:t>
            </w:r>
          </w:p>
        </w:tc>
        <w:tc>
          <w:tcPr>
            <w:tcW w:w="25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uppressLineNumbers w:val="0"/>
              <w:spacing w:lineRule="atLeast" w:line="420"/>
              <w:jc w:val="center"/>
              <w:rPr>
                <w:rFonts w:ascii="宋体" w:hAnsi="宋体" w:eastAsia="宋体" w:cs="宋体" w:hint="eastAsia"/>
                <w:b/>
                <w:bCs/>
                <w:color w:val="000000"/>
                <w:sz w:val="21"/>
                <w:szCs w:val="21"/>
              </w:rPr>
            </w:pPr>
            <w:r>
              <w:rPr>
                <w:rFonts w:hint="eastAsia"/>
                <w:color w:val="000000"/>
                <w:sz w:val="21"/>
                <w:szCs w:val="21"/>
              </w:rPr>
              <w:t>法理学专题研究</w:t>
            </w:r>
          </w:p>
        </w:tc>
      </w:tr>
    </w:tbl>
    <w:p>
      <w:pPr>
        <w:pStyle w:val="Style18"/>
        <w:spacing w:lineRule="exact" w:line="500" w:before="100" w:after="100"/>
        <w:contextualSpacing/>
        <w:jc w:val="center"/>
        <w:rPr>
          <w:rFonts w:hint="eastAsia"/>
          <w:sz w:val="21"/>
          <w:szCs w:val="21"/>
        </w:rPr>
      </w:pPr>
      <w:r>
        <w:rPr>
          <w:rFonts w:hint="eastAsia"/>
          <w:sz w:val="21"/>
          <w:szCs w:val="21"/>
        </w:rPr>
        <w:t>注：具体请参照实际教学</w:t>
      </w:r>
    </w:p>
    <w:p>
      <w:pPr>
        <w:pStyle w:val="Style18"/>
        <w:spacing w:lineRule="exact" w:line="500" w:before="100" w:after="100"/>
        <w:contextualSpacing/>
        <w:rPr>
          <w:rFonts w:hint="eastAsia"/>
          <w:b/>
          <w:color w:val="C00000"/>
          <w:sz w:val="21"/>
          <w:szCs w:val="21"/>
        </w:rPr>
      </w:pPr>
      <w:r>
        <w:rPr>
          <w:rFonts w:hint="eastAsia"/>
          <w:b/>
          <w:color w:val="C00000"/>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18"/>
        <w:spacing w:lineRule="exact" w:line="500" w:before="100" w:after="100"/>
        <w:ind w:firstLineChars="200" w:startChars="0" w:start="0" w:endChars="0" w:end="0"/>
        <w:contextualSpacing/>
        <w:rPr>
          <w:sz w:val="21"/>
          <w:szCs w:val="21"/>
        </w:rPr>
      </w:pPr>
      <w:r>
        <w:rPr>
          <w:sz w:val="21"/>
          <w:szCs w:val="21"/>
        </w:rPr>
        <w:t>以课堂讲授与自学相结合的方式，以双休日授课为主。</w:t>
      </w:r>
    </w:p>
    <w:p>
      <w:pPr>
        <w:pStyle w:val="Style18"/>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18"/>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18"/>
        <w:spacing w:lineRule="exact" w:line="500" w:before="100" w:after="100"/>
        <w:contextualSpacing/>
        <w:rPr>
          <w:sz w:val="21"/>
          <w:szCs w:val="21"/>
        </w:rPr>
      </w:pPr>
      <w:r>
        <w:rPr>
          <w:sz w:val="21"/>
          <w:szCs w:val="21"/>
        </w:rPr>
        <w:t>　　学习时间：</w:t>
      </w:r>
      <w:r>
        <w:rPr>
          <w:rFonts w:hint="eastAsia"/>
          <w:sz w:val="21"/>
          <w:szCs w:val="21"/>
        </w:rPr>
        <w:t>1.5</w:t>
      </w:r>
      <w:r>
        <w:rPr>
          <w:rFonts w:hint="eastAsia"/>
          <w:sz w:val="21"/>
          <w:szCs w:val="21"/>
        </w:rPr>
        <w:t>年</w:t>
      </w:r>
      <w:r>
        <w:rPr>
          <w:sz w:val="21"/>
          <w:szCs w:val="21"/>
        </w:rPr>
        <w:t>。自开班之日起算。</w:t>
      </w:r>
    </w:p>
    <w:p>
      <w:pPr>
        <w:pStyle w:val="Style18"/>
        <w:spacing w:lineRule="exact" w:line="500" w:before="100" w:after="100"/>
        <w:contextualSpacing/>
        <w:rPr>
          <w:sz w:val="21"/>
          <w:szCs w:val="21"/>
        </w:rPr>
      </w:pPr>
      <w:r>
        <w:rPr>
          <w:sz w:val="21"/>
          <w:szCs w:val="21"/>
        </w:rPr>
      </w:r>
    </w:p>
    <w:p>
      <w:pPr>
        <w:pStyle w:val="Style18"/>
        <w:numPr>
          <w:ilvl w:val="0"/>
          <w:numId w:val="4"/>
        </w:numPr>
        <w:spacing w:lineRule="exact" w:line="500" w:before="100" w:after="280"/>
        <w:rPr>
          <w:b/>
          <w:color w:val="C00000"/>
          <w:sz w:val="21"/>
          <w:szCs w:val="21"/>
        </w:rPr>
      </w:pPr>
      <w:r>
        <w:rPr>
          <w:b/>
          <w:color w:val="C00000"/>
          <w:sz w:val="21"/>
          <w:szCs w:val="21"/>
        </w:rPr>
        <w:t>报名条件</w:t>
      </w:r>
    </w:p>
    <w:p>
      <w:pPr>
        <w:pStyle w:val="Style18"/>
        <w:spacing w:lineRule="exact" w:line="500" w:before="100" w:after="100"/>
        <w:ind w:firstLineChars="200" w:startChars="0" w:start="0" w:endChars="0" w:end="0"/>
        <w:contextualSpacing/>
        <w:rPr>
          <w:sz w:val="21"/>
          <w:szCs w:val="21"/>
        </w:rPr>
      </w:pPr>
      <w:r>
        <w:rPr>
          <w:rFonts w:hint="eastAsia"/>
          <w:sz w:val="21"/>
          <w:szCs w:val="21"/>
        </w:rPr>
        <w:t>1</w:t>
      </w:r>
      <w:r>
        <w:rPr>
          <w:rFonts w:hint="eastAsia"/>
          <w:sz w:val="21"/>
          <w:szCs w:val="21"/>
        </w:rPr>
        <w:t>、拥护《中华人民共和国宪法》，遵守法律、法规，品行端正，身体健康，并能坚持在职学习者；</w:t>
      </w:r>
    </w:p>
    <w:p>
      <w:pPr>
        <w:pStyle w:val="Style18"/>
        <w:keepNext w:val="false"/>
        <w:keepLines w:val="false"/>
        <w:pageBreakBefore w:val="false"/>
        <w:widowControl/>
        <w:suppressLineNumbers w:val="0"/>
        <w:kinsoku w:val="true"/>
        <w:overflowPunct w:val="true"/>
        <w:autoSpaceDE w:val="true"/>
        <w:bidi w:val="0"/>
        <w:snapToGrid w:val="true"/>
        <w:spacing w:lineRule="exact" w:line="500"/>
        <w:ind w:firstLineChars="200" w:startChars="0" w:start="0" w:endChars="0" w:end="0"/>
        <w:textAlignment w:val="auto"/>
        <w:rPr>
          <w:sz w:val="21"/>
          <w:szCs w:val="21"/>
        </w:rPr>
      </w:pPr>
      <w:r>
        <w:rPr>
          <w:sz w:val="21"/>
          <w:szCs w:val="21"/>
        </w:rPr>
        <w:t>2</w:t>
      </w:r>
      <w:r>
        <w:rPr>
          <w:rFonts w:hint="eastAsia"/>
          <w:sz w:val="21"/>
          <w:szCs w:val="21"/>
        </w:rPr>
        <w:t>、</w:t>
      </w:r>
      <w:r>
        <w:rPr>
          <w:sz w:val="21"/>
          <w:szCs w:val="21"/>
        </w:rPr>
        <w:t xml:space="preserve"> 国民教育序列大学本科毕业并获得学士学位满三年，已获得硕士及以上学位无年限要求（学位需在学信网上可查询，所学专业不限）</w:t>
      </w:r>
    </w:p>
    <w:p>
      <w:pPr>
        <w:pStyle w:val="Style18"/>
        <w:keepNext w:val="false"/>
        <w:keepLines w:val="false"/>
        <w:pageBreakBefore w:val="false"/>
        <w:widowControl/>
        <w:suppressLineNumbers w:val="0"/>
        <w:kinsoku w:val="true"/>
        <w:overflowPunct w:val="true"/>
        <w:autoSpaceDE w:val="true"/>
        <w:bidi w:val="0"/>
        <w:snapToGrid w:val="true"/>
        <w:spacing w:lineRule="exact" w:line="500"/>
        <w:ind w:firstLineChars="200" w:startChars="0" w:start="0" w:endChars="0" w:end="0"/>
        <w:textAlignment w:val="auto"/>
        <w:rPr>
          <w:sz w:val="21"/>
          <w:szCs w:val="21"/>
        </w:rPr>
      </w:pPr>
      <w:r>
        <w:rPr>
          <w:sz w:val="21"/>
          <w:szCs w:val="21"/>
        </w:rPr>
        <w:t>3</w:t>
      </w:r>
      <w:r>
        <w:rPr>
          <w:rFonts w:hint="eastAsia"/>
          <w:sz w:val="21"/>
          <w:szCs w:val="21"/>
        </w:rPr>
        <w:t>、</w:t>
      </w:r>
      <w:r>
        <w:rPr>
          <w:sz w:val="21"/>
          <w:szCs w:val="21"/>
        </w:rPr>
        <w:t>大专学历者，参加课程班课程的学习，可获得结业证书。</w:t>
      </w:r>
    </w:p>
    <w:p>
      <w:pPr>
        <w:pStyle w:val="Style18"/>
        <w:numPr>
          <w:ilvl w:val="0"/>
          <w:numId w:val="0"/>
        </w:numPr>
        <w:spacing w:lineRule="exact" w:line="500" w:before="100" w:after="100"/>
        <w:ind w:hanging="0" w:start="0"/>
        <w:contextualSpacing/>
        <w:rPr>
          <w:b/>
          <w:color w:val="C00000"/>
          <w:sz w:val="21"/>
          <w:szCs w:val="21"/>
        </w:rPr>
      </w:pPr>
      <w:r>
        <w:rPr>
          <w:b/>
          <w:color w:val="C00000"/>
          <w:sz w:val="21"/>
          <w:szCs w:val="21"/>
        </w:rPr>
      </w:r>
    </w:p>
    <w:p>
      <w:pPr>
        <w:pStyle w:val="Style18"/>
        <w:numPr>
          <w:ilvl w:val="0"/>
          <w:numId w:val="4"/>
        </w:numPr>
        <w:spacing w:lineRule="exact" w:line="500" w:before="100" w:after="280"/>
        <w:rPr>
          <w:rFonts w:eastAsia="宋体"/>
          <w:b/>
          <w:color w:val="C00000"/>
          <w:sz w:val="21"/>
          <w:szCs w:val="21"/>
        </w:rPr>
      </w:pPr>
      <w:r>
        <w:rPr>
          <w:b/>
          <w:color w:val="C00000"/>
          <w:sz w:val="21"/>
          <w:szCs w:val="21"/>
        </w:rPr>
        <w:t>报名</w:t>
      </w:r>
      <w:r>
        <w:rPr>
          <w:rFonts w:hint="eastAsia"/>
          <w:b/>
          <w:color w:val="C00000"/>
          <w:sz w:val="21"/>
          <w:szCs w:val="21"/>
        </w:rPr>
        <w:t>材料：</w:t>
      </w:r>
    </w:p>
    <w:p>
      <w:pPr>
        <w:pStyle w:val="Style18"/>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、在职人员课程培训班报名登记表</w:t>
      </w:r>
    </w:p>
    <w:p>
      <w:pPr>
        <w:pStyle w:val="Style18"/>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、身份证复印件（正反面复印在一张纸上）</w:t>
      </w:r>
    </w:p>
    <w:p>
      <w:pPr>
        <w:pStyle w:val="Style18"/>
        <w:spacing w:lineRule="exact" w:line="500" w:before="100" w:after="100"/>
        <w:ind w:firstLineChars="200" w:startChars="0" w:start="0" w:endChars="0" w:end="0"/>
        <w:contextualSpacing/>
        <w:rPr>
          <w:rFonts w:hint="eastAsia"/>
          <w:sz w:val="21"/>
          <w:szCs w:val="21"/>
        </w:rPr>
      </w:pPr>
      <w:r>
        <w:rPr>
          <w:rFonts w:hint="eastAsia"/>
          <w:sz w:val="21"/>
          <w:szCs w:val="21"/>
        </w:rPr>
        <w:t>3</w:t>
      </w:r>
      <w:r>
        <w:rPr>
          <w:rFonts w:hint="eastAsia"/>
          <w:sz w:val="21"/>
          <w:szCs w:val="21"/>
        </w:rPr>
        <w:t>、本人最后学历证书和学位证书复印件</w:t>
      </w:r>
    </w:p>
    <w:p>
      <w:pPr>
        <w:pStyle w:val="Style18"/>
        <w:numPr>
          <w:ilvl w:val="0"/>
          <w:numId w:val="0"/>
        </w:numPr>
        <w:spacing w:lineRule="exact" w:line="500" w:before="100" w:after="100"/>
        <w:ind w:firstLineChars="200" w:startChars="0" w:start="0" w:endChars="0" w:end="0"/>
        <w:contextualSpacing/>
        <w:rPr>
          <w:rFonts w:hint="eastAsia"/>
          <w:sz w:val="21"/>
          <w:szCs w:val="21"/>
        </w:rPr>
      </w:pPr>
      <w:r>
        <w:rPr>
          <w:rFonts w:hint="eastAsia"/>
          <w:sz w:val="21"/>
          <w:szCs w:val="21"/>
        </w:rPr>
        <w:t>4</w:t>
      </w:r>
      <w:r>
        <w:rPr>
          <w:rFonts w:hint="eastAsia"/>
          <w:sz w:val="21"/>
          <w:szCs w:val="21"/>
        </w:rPr>
        <w:t>、交</w:t>
      </w:r>
      <w:r>
        <w:rPr>
          <w:rFonts w:hint="eastAsia"/>
          <w:sz w:val="21"/>
          <w:szCs w:val="21"/>
        </w:rPr>
        <w:t>3</w:t>
      </w:r>
      <w:r>
        <w:rPr>
          <w:rFonts w:hint="eastAsia"/>
          <w:sz w:val="21"/>
          <w:szCs w:val="21"/>
        </w:rPr>
        <w:t>张</w:t>
      </w:r>
      <w:r>
        <w:rPr>
          <w:rFonts w:hint="eastAsia"/>
          <w:sz w:val="21"/>
          <w:szCs w:val="21"/>
        </w:rPr>
        <w:t>1</w:t>
      </w:r>
      <w:r>
        <w:rPr>
          <w:rFonts w:hint="eastAsia"/>
          <w:sz w:val="21"/>
          <w:szCs w:val="21"/>
        </w:rPr>
        <w:t>寸、</w:t>
      </w:r>
      <w:r>
        <w:rPr>
          <w:rFonts w:hint="eastAsia"/>
          <w:sz w:val="21"/>
          <w:szCs w:val="21"/>
        </w:rPr>
        <w:t>1</w:t>
      </w:r>
      <w:r>
        <w:rPr>
          <w:rFonts w:hint="eastAsia"/>
          <w:sz w:val="21"/>
          <w:szCs w:val="21"/>
        </w:rPr>
        <w:t>张</w:t>
      </w:r>
      <w:r>
        <w:rPr>
          <w:rFonts w:hint="eastAsia"/>
          <w:sz w:val="21"/>
          <w:szCs w:val="21"/>
        </w:rPr>
        <w:t>2</w:t>
      </w:r>
      <w:r>
        <w:rPr>
          <w:rFonts w:hint="eastAsia"/>
          <w:sz w:val="21"/>
          <w:szCs w:val="21"/>
        </w:rPr>
        <w:t>寸近期彩色蓝底照片，蓝底电子版照片</w:t>
      </w:r>
    </w:p>
    <w:p>
      <w:pPr>
        <w:pStyle w:val="Style18"/>
        <w:numPr>
          <w:ilvl w:val="0"/>
          <w:numId w:val="0"/>
        </w:numPr>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18"/>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18"/>
        <w:spacing w:lineRule="exact" w:line="500" w:before="100" w:after="100"/>
        <w:contextualSpacing/>
        <w:rPr>
          <w:sz w:val="21"/>
          <w:szCs w:val="21"/>
        </w:rPr>
      </w:pPr>
      <w:r>
        <w:rPr>
          <w:sz w:val="21"/>
          <w:szCs w:val="21"/>
        </w:rPr>
        <w:t>　　在职课程培训班费用</w:t>
      </w:r>
      <w:r>
        <w:rPr>
          <w:rFonts w:hint="eastAsia"/>
          <w:sz w:val="21"/>
          <w:szCs w:val="21"/>
        </w:rPr>
        <w:t>450</w:t>
      </w:r>
      <w:r>
        <w:rPr>
          <w:sz w:val="21"/>
          <w:szCs w:val="21"/>
        </w:rPr>
        <w:t>00</w:t>
      </w:r>
      <w:r>
        <w:rPr>
          <w:sz w:val="21"/>
          <w:szCs w:val="21"/>
        </w:rPr>
        <w:t>元。</w:t>
      </w:r>
      <w:r>
        <w:rPr>
          <w:sz w:val="21"/>
          <w:szCs w:val="21"/>
        </w:rPr>
        <w:t>(</w:t>
      </w:r>
      <w:r>
        <w:rPr>
          <w:sz w:val="21"/>
          <w:szCs w:val="21"/>
        </w:rPr>
        <w:t>不含教材费费用一次性交清</w:t>
      </w:r>
      <w:r>
        <w:rPr>
          <w:rFonts w:hint="eastAsia"/>
          <w:sz w:val="21"/>
          <w:szCs w:val="21"/>
        </w:rPr>
        <w:t>，</w:t>
      </w:r>
      <w:r>
        <w:rPr>
          <w:sz w:val="21"/>
          <w:szCs w:val="21"/>
        </w:rPr>
        <w:t>由学校财务处统一开具培训类票据</w:t>
      </w:r>
      <w:r>
        <w:rPr>
          <w:sz w:val="21"/>
          <w:szCs w:val="21"/>
        </w:rPr>
        <w:t>)</w:t>
      </w:r>
    </w:p>
    <w:p>
      <w:pPr>
        <w:pStyle w:val="Style18"/>
        <w:spacing w:lineRule="exact" w:line="500" w:before="100" w:after="100"/>
        <w:contextualSpacing/>
        <w:rPr>
          <w:sz w:val="21"/>
          <w:szCs w:val="21"/>
        </w:rPr>
      </w:pPr>
      <w:r>
        <w:rPr>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18"/>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18"/>
        <w:spacing w:lineRule="exact" w:line="500" w:before="100" w:after="100"/>
        <w:contextualSpacing/>
        <w:rPr>
          <w:sz w:val="21"/>
          <w:szCs w:val="21"/>
        </w:rPr>
      </w:pPr>
      <w:r>
        <w:rPr>
          <w:sz w:val="21"/>
          <w:szCs w:val="21"/>
        </w:rPr>
        <w:t>　</w:t>
      </w:r>
    </w:p>
    <w:p>
      <w:pPr>
        <w:pStyle w:val="Style18"/>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18"/>
        <w:spacing w:lineRule="exact" w:line="500" w:before="100" w:after="100"/>
        <w:ind w:firstLineChars="200" w:startChars="0" w:start="0" w:endChars="0" w:end="0"/>
        <w:contextualSpacing/>
        <w:rPr>
          <w:sz w:val="21"/>
          <w:szCs w:val="21"/>
        </w:rPr>
      </w:pPr>
      <w:r>
        <w:rPr>
          <w:sz w:val="21"/>
          <w:szCs w:val="21"/>
        </w:rPr>
        <w:t>完成培训班规定的学习项目，审核合格者颁发中国人民大学颁发的结业证书。</w:t>
      </w:r>
    </w:p>
    <w:p>
      <w:pPr>
        <w:pStyle w:val="Style18"/>
        <w:spacing w:lineRule="exact" w:line="500" w:before="100" w:after="100"/>
        <w:ind w:firstLineChars="200" w:startChars="0" w:start="0" w:endChars="0" w:end="0"/>
        <w:contextualSpacing/>
        <w:rPr>
          <w:rFonts w:hint="eastAsia"/>
          <w:sz w:val="21"/>
          <w:szCs w:val="21"/>
        </w:rPr>
      </w:pPr>
      <w:r>
        <w:rPr>
          <w:rFonts w:hint="eastAsia"/>
          <w:sz w:val="21"/>
          <w:szCs w:val="21"/>
        </w:rPr>
      </w:r>
    </w:p>
    <w:p>
      <w:pPr>
        <w:pStyle w:val="Style18"/>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abstractNum w:abstractNumId="4">
    <w:lvl w:ilvl="0">
      <w:start w:val="5"/>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MjJkYmYyOGQwNjU2YTFjYjBlYWQzZDdlZjc2Nzk1ZWY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WW8Num3z0">
    <w:name w:val="WW8Num3z0"/>
    <w:qFormat/>
    <w:rPr>
      <w:rFonts w:hint="eastAsia"/>
    </w:rPr>
  </w:style>
  <w:style w:type="character" w:styleId="Style13">
    <w:name w:val="默认段落字体"/>
    <w:qFormat/>
    <w:rPr/>
  </w:style>
  <w:style w:type="character" w:styleId="6Char">
    <w:name w:val="标题 6 Char"/>
    <w:qFormat/>
    <w:rPr>
      <w:rFonts w:ascii="宋体" w:hAnsi="宋体" w:cs="宋体"/>
      <w:b/>
      <w:sz w:val="15"/>
      <w:szCs w:val="15"/>
    </w:rPr>
  </w:style>
  <w:style w:type="character" w:styleId="Char">
    <w:name w:val="批注框文本 Char"/>
    <w:qFormat/>
    <w:rPr>
      <w:sz w:val="18"/>
      <w:szCs w:val="18"/>
    </w:rPr>
  </w:style>
  <w:style w:type="character" w:styleId="Char1">
    <w:name w:val="页脚 Char"/>
    <w:qFormat/>
    <w:rPr>
      <w:sz w:val="18"/>
      <w:szCs w:val="18"/>
    </w:rPr>
  </w:style>
  <w:style w:type="character" w:styleId="Char2">
    <w:name w:val="页眉 Char"/>
    <w:qFormat/>
    <w:rPr>
      <w:sz w:val="18"/>
      <w:szCs w:val="18"/>
    </w:rPr>
  </w:style>
  <w:style w:type="character" w:styleId="Hyperlink">
    <w:name w:val="Hyperlink"/>
    <w:rPr>
      <w:color w:val="0563C1"/>
      <w:u w:val="single"/>
    </w:rPr>
  </w:style>
  <w:style w:type="paragraph" w:styleId="Style14">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索引"/>
    <w:basedOn w:val="Normal"/>
    <w:qFormat/>
    <w:pPr>
      <w:suppressLineNumbers/>
    </w:pPr>
    <w:rPr>
      <w:rFonts w:cs="Lucida Sans"/>
    </w:rPr>
  </w:style>
  <w:style w:type="paragraph" w:styleId="Style16">
    <w:name w:val="批注框文本"/>
    <w:basedOn w:val="Normal"/>
    <w:qFormat/>
    <w:pPr/>
    <w:rPr>
      <w:kern w:val="0"/>
      <w:sz w:val="18"/>
      <w:szCs w:val="18"/>
    </w:rPr>
  </w:style>
  <w:style w:type="paragraph" w:styleId="Style17">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18">
    <w:name w:val="普通(网站)"/>
    <w:basedOn w:val="Normal"/>
    <w:qFormat/>
    <w:pPr>
      <w:widowControl/>
      <w:spacing w:before="100" w:after="100"/>
      <w:jc w:val="start"/>
    </w:pPr>
    <w:rPr>
      <w:rFonts w:ascii="宋体" w:hAnsi="宋体" w:eastAsia="宋体" w:cs="宋体"/>
      <w:kern w:val="0"/>
      <w:sz w:val="24"/>
      <w:szCs w:val="24"/>
    </w:rPr>
  </w:style>
  <w:style w:type="paragraph" w:styleId="Style19">
    <w:name w:val="表格内容"/>
    <w:basedOn w:val="Normal"/>
    <w:qFormat/>
    <w:pPr>
      <w:widowControl w:val="false"/>
      <w:suppressLineNumbers/>
    </w:pPr>
    <w:rPr/>
  </w:style>
  <w:style w:type="paragraph" w:styleId="Style20">
    <w:name w:val="表格标题"/>
    <w:basedOn w:val="Style19"/>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5760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2026-01-08T09:51:28Z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8464614666B74F338A4F28DBFFB5F3BB_13</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y fmtid="{D5CDD505-2E9C-101B-9397-08002B2CF9AE}" pid="5" name="commondata">
    <vt:lpwstr>eyJoZGlkIjoiNGQ5ODQ5N2Q1NmI0ZDAwYTJiMTcyMmU3ZjhhMWE4NmEifQ==</vt:lpwstr>
  </property>
</Properties>
</file>