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18"/>
        <w:snapToGrid w:val="false"/>
        <w:spacing w:lineRule="exact" w:line="500" w:before="0" w:after="100"/>
        <w:ind w:hangingChars="600" w:startChars="0" w:start="0" w:endChars="0" w:end="0"/>
        <w:rPr>
          <w:rFonts w:hint="eastAsia"/>
          <w:b/>
          <w:sz w:val="21"/>
          <w:szCs w:val="21"/>
          <w:lang w:val="zh-CN" w:eastAsia="zh-CN"/>
        </w:rPr>
      </w:pPr>
      <w:r>
        <w:drawing>
          <wp:anchor distT="0" distB="0" distL="114935" distR="114935" simplePos="0" relativeHeight="6" behindDoc="0" locked="0" layoutInCell="1" allowOverlap="1">
            <wp:simplePos x="0" y="0"/>
            <wp:positionH relativeFrom="column">
              <wp:posOffset>790575</wp:posOffset>
            </wp:positionH>
            <wp:positionV relativeFrom="paragraph">
              <wp:posOffset>-152400</wp:posOffset>
            </wp:positionV>
            <wp:extent cx="3457575" cy="1076325"/>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2"/>
                    <a:srcRect l="-5" t="-17" r="-5" b="-17"/>
                    <a:stretch>
                      <a:fillRect/>
                    </a:stretch>
                  </pic:blipFill>
                  <pic:spPr bwMode="auto">
                    <a:xfrm>
                      <a:off x="0" y="0"/>
                      <a:ext cx="3457575" cy="1076325"/>
                    </a:xfrm>
                    <a:prstGeom prst="rect">
                      <a:avLst/>
                    </a:prstGeom>
                    <a:noFill/>
                  </pic:spPr>
                </pic:pic>
              </a:graphicData>
            </a:graphic>
          </wp:anchor>
        </w:drawing>
      </w:r>
      <w:r>
        <w:rPr>
          <w:b/>
          <w:sz w:val="21"/>
          <w:szCs w:val="21"/>
        </w:rPr>
        <w:t>　</w:t>
      </w:r>
    </w:p>
    <w:p>
      <w:pPr>
        <w:pStyle w:val="Style18"/>
        <w:snapToGrid w:val="false"/>
        <w:spacing w:lineRule="exact" w:line="500" w:before="100" w:after="100"/>
        <w:ind w:hangingChars="600" w:startChars="0" w:start="0" w:endChars="0" w:end="0"/>
        <w:contextualSpacing/>
        <w:rPr>
          <w:rFonts w:hint="eastAsia"/>
          <w:b/>
          <w:sz w:val="21"/>
          <w:szCs w:val="21"/>
          <w:lang w:val="zh-CN" w:eastAsia="zh-CN"/>
        </w:rPr>
      </w:pPr>
      <w:r>
        <w:rPr>
          <w:rFonts w:hint="eastAsia"/>
          <w:b/>
          <w:sz w:val="21"/>
          <w:szCs w:val="21"/>
          <w:lang w:val="zh-CN" w:eastAsia="zh-CN"/>
        </w:rPr>
      </w:r>
    </w:p>
    <w:p>
      <w:pPr>
        <w:pStyle w:val="Style18"/>
        <w:tabs>
          <w:tab w:val="clear" w:pos="420"/>
          <w:tab w:val="left" w:pos="7530" w:leader="none"/>
        </w:tabs>
        <w:snapToGrid w:val="false"/>
        <w:spacing w:lineRule="exact" w:line="500" w:before="100" w:after="100"/>
        <w:ind w:hangingChars="600" w:startChars="0" w:start="0" w:endChars="0" w:end="0"/>
        <w:contextualSpacing/>
        <w:rPr>
          <w:rFonts w:hint="eastAsia"/>
          <w:b/>
          <w:sz w:val="21"/>
          <w:szCs w:val="21"/>
          <w:lang w:val="zh-CN" w:eastAsia="zh-CN"/>
        </w:rPr>
      </w:pPr>
      <w:r>
        <w:rPr>
          <w:b/>
          <w:sz w:val="21"/>
          <w:szCs w:val="21"/>
          <w:lang w:val="zh-CN" w:eastAsia="zh-CN"/>
        </w:rPr>
        <w:tab/>
      </w:r>
    </w:p>
    <w:p>
      <w:pPr>
        <w:pStyle w:val="Style18"/>
        <w:spacing w:lineRule="exact" w:line="500" w:before="100" w:after="100"/>
        <w:ind w:hangingChars="800" w:startChars="300" w:endChars="0" w:end="0"/>
        <w:contextualSpacing/>
        <w:jc w:val="center"/>
        <w:rPr>
          <w:b/>
          <w:sz w:val="30"/>
          <w:szCs w:val="30"/>
        </w:rPr>
      </w:pPr>
      <w:r>
        <w:rPr>
          <w:rFonts w:hint="eastAsia"/>
          <w:b/>
          <w:sz w:val="30"/>
          <w:szCs w:val="30"/>
        </w:rPr>
        <w:t>2026</w:t>
      </w:r>
      <w:r>
        <w:rPr>
          <w:b/>
          <w:sz w:val="30"/>
          <w:szCs w:val="30"/>
        </w:rPr>
        <w:t>年中国人民大学</w:t>
      </w:r>
      <w:r>
        <w:rPr>
          <w:rFonts w:hint="eastAsia"/>
          <w:b/>
          <w:sz w:val="30"/>
          <w:szCs w:val="30"/>
        </w:rPr>
        <w:t>劳动人事学院人力资源管理</w:t>
      </w:r>
      <w:r>
        <w:rPr>
          <w:b/>
          <w:sz w:val="30"/>
          <w:szCs w:val="30"/>
        </w:rPr>
        <w:t>专业</w:t>
      </w:r>
    </w:p>
    <w:p>
      <w:pPr>
        <w:pStyle w:val="Style18"/>
        <w:spacing w:lineRule="exact" w:line="500" w:before="100" w:after="100"/>
        <w:ind w:hangingChars="800" w:startChars="300" w:endChars="0" w:end="0"/>
        <w:contextualSpacing/>
        <w:jc w:val="center"/>
        <w:rPr>
          <w:b/>
          <w:sz w:val="30"/>
          <w:szCs w:val="30"/>
        </w:rPr>
      </w:pPr>
      <w:r>
        <w:rPr>
          <w:b/>
          <w:sz w:val="30"/>
          <w:szCs w:val="30"/>
        </w:rPr>
        <w:t>在职课程培训班</w:t>
      </w:r>
    </w:p>
    <w:p>
      <w:pPr>
        <w:pStyle w:val="Style18"/>
        <w:spacing w:lineRule="exact" w:line="500" w:before="100" w:after="100"/>
        <w:contextualSpacing/>
        <w:rPr>
          <w:sz w:val="21"/>
          <w:szCs w:val="21"/>
        </w:rPr>
      </w:pPr>
      <w:r>
        <mc:AlternateContent>
          <mc:Choice Requires="wps">
            <w:drawing>
              <wp:anchor distT="0" distB="0" distL="114935" distR="114935" simplePos="0" relativeHeight="5" behindDoc="0" locked="0" layoutInCell="1" allowOverlap="1">
                <wp:simplePos x="0" y="0"/>
                <wp:positionH relativeFrom="column">
                  <wp:posOffset>9525</wp:posOffset>
                </wp:positionH>
                <wp:positionV relativeFrom="paragraph">
                  <wp:posOffset>203200</wp:posOffset>
                </wp:positionV>
                <wp:extent cx="5477510" cy="1270"/>
                <wp:effectExtent l="635" t="3175" r="635" b="3175"/>
                <wp:wrapNone/>
                <wp:docPr id="2" name="自选图形 6"/>
                <a:graphic xmlns:a="http://schemas.openxmlformats.org/drawingml/2006/main">
                  <a:graphicData uri="http://schemas.microsoft.com/office/word/2010/wordprocessingShape">
                    <wps:wsp>
                      <wps:cNvCnPr/>
                      <wps:spPr>
                        <a:xfrm>
                          <a:off x="0" y="0"/>
                          <a:ext cx="5478120" cy="1800"/>
                        </a:xfrm>
                        <a:prstGeom prst="straightConnector1">
                          <a:avLst/>
                        </a:prstGeom>
                        <a:ln w="6480">
                          <a:solidFill>
                            <a:srgbClr val="C00000"/>
                          </a:solidFill>
                          <a:miter/>
                        </a:ln>
                      </wps:spPr>
                      <wps:bodyPr/>
                    </wps:wsp>
                  </a:graphicData>
                </a:graphic>
              </wp:anchor>
            </w:drawing>
          </mc:Choice>
          <mc:Fallback>
            <w:pict>
              <v:shapetype id="_x0000_t32" coordsize="21600,21600" o:spt="32" path="m,l21600,21600nfe">
                <v:stroke joinstyle="miter"/>
                <v:path gradientshapeok="t" o:connecttype="rect" textboxrect="0,0,21600,21600"/>
              </v:shapetype>
              <v:shape id="shape_0" stroked="t" o:allowincell="f" style="position:absolute;margin-left:0.75pt;margin-top:16pt;width:431.3pt;height:0.1pt" type="_x0000_t32">
                <v:stroke color="#c00000" weight="6480" joinstyle="miter" endcap="flat"/>
                <v:fill o:detectmouseclick="t" on="false"/>
                <w10:wrap type="none"/>
              </v:shape>
            </w:pict>
          </mc:Fallback>
        </mc:AlternateContent>
      </w:r>
      <w:r>
        <w:rPr>
          <w:sz w:val="21"/>
          <w:szCs w:val="21"/>
        </w:rPr>
        <w:t>　　</w:t>
      </w:r>
    </w:p>
    <w:p>
      <w:pPr>
        <w:pStyle w:val="Style18"/>
        <w:spacing w:lineRule="exact" w:line="500" w:before="100" w:after="100"/>
        <w:contextualSpacing/>
        <w:rPr>
          <w:sz w:val="21"/>
          <w:szCs w:val="21"/>
        </w:rPr>
      </w:pPr>
      <w:r>
        <w:rPr>
          <w:sz w:val="21"/>
          <w:szCs w:val="21"/>
        </w:rPr>
        <w:t>培训类别：</w:t>
      </w:r>
      <w:r>
        <w:rPr>
          <w:color w:val="C00000"/>
          <w:sz w:val="21"/>
          <w:szCs w:val="21"/>
        </w:rPr>
        <w:t>课程班</w:t>
      </w:r>
      <w:r>
        <w:rPr>
          <w:color w:val="C00000"/>
          <w:sz w:val="21"/>
          <w:szCs w:val="21"/>
        </w:rPr>
        <w:t>[</w:t>
      </w:r>
      <w:r>
        <w:rPr>
          <w:color w:val="C00000"/>
          <w:sz w:val="21"/>
          <w:szCs w:val="21"/>
        </w:rPr>
        <w:t>管理</w:t>
      </w:r>
      <w:r>
        <w:rPr>
          <w:color w:val="C00000"/>
          <w:sz w:val="21"/>
          <w:szCs w:val="21"/>
        </w:rPr>
        <w:t>]</w:t>
      </w:r>
      <w:r>
        <w:rPr>
          <w:sz w:val="21"/>
          <w:szCs w:val="21"/>
        </w:rPr>
        <w:t xml:space="preserve">      </w:t>
      </w:r>
      <w:r>
        <w:rPr>
          <w:sz w:val="21"/>
          <w:szCs w:val="21"/>
        </w:rPr>
        <w:t>培训费：</w:t>
      </w:r>
      <w:r>
        <w:rPr>
          <w:rFonts w:hint="eastAsia"/>
          <w:color w:val="C00000"/>
          <w:sz w:val="21"/>
          <w:szCs w:val="21"/>
        </w:rPr>
        <w:t>468</w:t>
      </w:r>
      <w:r>
        <w:rPr>
          <w:color w:val="C00000"/>
          <w:sz w:val="21"/>
          <w:szCs w:val="21"/>
        </w:rPr>
        <w:t>00.00</w:t>
      </w:r>
      <w:r>
        <w:rPr>
          <w:color w:val="C00000"/>
          <w:sz w:val="21"/>
          <w:szCs w:val="21"/>
        </w:rPr>
        <w:t xml:space="preserve">元 </w:t>
      </w:r>
      <w:r>
        <w:rPr>
          <w:sz w:val="21"/>
          <w:szCs w:val="21"/>
        </w:rPr>
        <w:t xml:space="preserve">    主办单位：</w:t>
      </w:r>
      <w:r>
        <w:rPr>
          <w:rFonts w:hint="eastAsia"/>
          <w:color w:val="C00000"/>
          <w:sz w:val="21"/>
          <w:szCs w:val="21"/>
        </w:rPr>
        <w:t>劳动人事</w:t>
      </w:r>
      <w:r>
        <w:rPr>
          <w:color w:val="C00000"/>
          <w:sz w:val="21"/>
          <w:szCs w:val="21"/>
        </w:rPr>
        <w:t>学院</w:t>
      </w:r>
    </w:p>
    <w:p>
      <w:pPr>
        <w:pStyle w:val="Normal"/>
        <w:spacing w:lineRule="exact" w:line="500"/>
        <w:ind w:firstLineChars="200" w:startChars="0" w:start="0" w:endChars="0" w:end="0"/>
        <w:rPr>
          <w:rFonts w:ascii="宋体" w:hAnsi="宋体" w:cs="宋体"/>
          <w:szCs w:val="21"/>
        </w:rPr>
      </w:pPr>
      <w:r>
        <w:rPr>
          <w:rFonts w:ascii="宋体" w:hAnsi="宋体" w:cs="宋体" w:hint="eastAsia"/>
          <w:szCs w:val="21"/>
        </w:rPr>
        <w:t>中国人民大学是一所以人文社会科学为主的综合性研究型全国重点大学。学校是国家“</w:t>
      </w:r>
      <w:r>
        <w:rPr>
          <w:rFonts w:cs="宋体" w:hint="eastAsia" w:ascii="宋体" w:hAnsi="宋体"/>
          <w:szCs w:val="21"/>
        </w:rPr>
        <w:t>985</w:t>
      </w:r>
      <w:r>
        <w:rPr>
          <w:rFonts w:ascii="宋体" w:hAnsi="宋体" w:cs="宋体" w:hint="eastAsia"/>
          <w:szCs w:val="21"/>
        </w:rPr>
        <w:t>工程”和“</w:t>
      </w:r>
      <w:r>
        <w:rPr>
          <w:rFonts w:cs="宋体" w:hint="eastAsia" w:ascii="宋体" w:hAnsi="宋体"/>
          <w:szCs w:val="21"/>
        </w:rPr>
        <w:t>211</w:t>
      </w:r>
      <w:r>
        <w:rPr>
          <w:rFonts w:ascii="宋体" w:hAnsi="宋体" w:cs="宋体" w:hint="eastAsia"/>
          <w:szCs w:val="21"/>
        </w:rPr>
        <w:t>工程”重点建设的大学之一，在长期办学实践中成绩显著被誉为“我国人文社会科学高等教育领域的一面旗帜”。</w:t>
      </w:r>
    </w:p>
    <w:p>
      <w:pPr>
        <w:pStyle w:val="Style18"/>
        <w:spacing w:lineRule="exact" w:line="500" w:before="100" w:after="100"/>
        <w:contextualSpacing/>
        <w:rPr>
          <w:b/>
          <w:color w:val="C00000"/>
          <w:sz w:val="21"/>
          <w:szCs w:val="21"/>
        </w:rPr>
      </w:pPr>
      <w:r>
        <w:rPr>
          <w:b/>
          <w:color w:val="C00000"/>
          <w:sz w:val="21"/>
          <w:szCs w:val="21"/>
        </w:rPr>
        <w:t>一、学院及专业优势简介</w:t>
      </w:r>
    </w:p>
    <w:p>
      <w:pPr>
        <w:pStyle w:val="Style18"/>
        <w:spacing w:lineRule="exact" w:line="500" w:before="100" w:after="100"/>
        <w:contextualSpacing/>
        <w:rPr>
          <w:rFonts w:hint="eastAsia"/>
          <w:sz w:val="21"/>
          <w:szCs w:val="21"/>
        </w:rPr>
      </w:pPr>
      <w:r>
        <w:rPr>
          <w:sz w:val="21"/>
          <w:szCs w:val="21"/>
        </w:rPr>
        <w:t>　　　</w:t>
      </w:r>
      <w:r>
        <w:rPr>
          <w:rFonts w:hint="eastAsia"/>
          <w:sz w:val="21"/>
          <w:szCs w:val="21"/>
        </w:rPr>
        <w:t>劳动人事学院成立于</w:t>
      </w:r>
      <w:r>
        <w:rPr>
          <w:rFonts w:hint="eastAsia"/>
          <w:sz w:val="21"/>
          <w:szCs w:val="21"/>
        </w:rPr>
        <w:t>1983</w:t>
      </w:r>
      <w:r>
        <w:rPr>
          <w:rFonts w:hint="eastAsia"/>
          <w:sz w:val="21"/>
          <w:szCs w:val="21"/>
        </w:rPr>
        <w:t>年，由中国人民大学与原国家劳动人事部联合创办</w:t>
      </w:r>
      <w:r>
        <w:rPr>
          <w:rFonts w:hint="eastAsia"/>
          <w:sz w:val="21"/>
          <w:szCs w:val="21"/>
        </w:rPr>
        <w:t>;2000</w:t>
      </w:r>
      <w:r>
        <w:rPr>
          <w:rFonts w:hint="eastAsia"/>
          <w:sz w:val="21"/>
          <w:szCs w:val="21"/>
        </w:rPr>
        <w:t>年隶属关系归为中国人民大学。现任院长为杨伟国教授。</w:t>
      </w:r>
    </w:p>
    <w:p>
      <w:pPr>
        <w:pStyle w:val="Style18"/>
        <w:spacing w:lineRule="exact" w:line="500" w:before="100" w:after="100"/>
        <w:contextualSpacing/>
        <w:rPr>
          <w:rFonts w:hint="eastAsia"/>
          <w:sz w:val="21"/>
          <w:szCs w:val="21"/>
        </w:rPr>
      </w:pPr>
      <w:r>
        <w:rPr>
          <w:rFonts w:hint="eastAsia"/>
          <w:sz w:val="21"/>
          <w:szCs w:val="21"/>
        </w:rPr>
        <w:t>　　在三十多年的发展历程中，劳动人事学院创造了若干个“第一”：</w:t>
      </w:r>
    </w:p>
    <w:p>
      <w:pPr>
        <w:pStyle w:val="Style18"/>
        <w:spacing w:lineRule="exact" w:line="500" w:before="100" w:after="100"/>
        <w:contextualSpacing/>
        <w:rPr>
          <w:rFonts w:hint="eastAsia"/>
          <w:sz w:val="21"/>
          <w:szCs w:val="21"/>
        </w:rPr>
      </w:pPr>
      <w:r>
        <w:rPr>
          <w:rFonts w:hint="eastAsia"/>
          <w:sz w:val="21"/>
          <w:szCs w:val="21"/>
        </w:rPr>
        <w:t>　　</w:t>
      </w:r>
      <w:r>
        <w:rPr>
          <w:rFonts w:hint="eastAsia"/>
          <w:sz w:val="21"/>
          <w:szCs w:val="21"/>
        </w:rPr>
        <w:t>1993</w:t>
      </w:r>
      <w:r>
        <w:rPr>
          <w:rFonts w:hint="eastAsia"/>
          <w:sz w:val="21"/>
          <w:szCs w:val="21"/>
        </w:rPr>
        <w:t>年在全国率先将人事管理专业改为人力资源管理专业。</w:t>
      </w:r>
    </w:p>
    <w:p>
      <w:pPr>
        <w:pStyle w:val="Style18"/>
        <w:spacing w:lineRule="exact" w:line="500" w:before="100" w:after="100"/>
        <w:contextualSpacing/>
        <w:rPr>
          <w:rFonts w:hint="eastAsia"/>
          <w:sz w:val="21"/>
          <w:szCs w:val="21"/>
        </w:rPr>
      </w:pPr>
      <w:r>
        <w:rPr>
          <w:rFonts w:hint="eastAsia"/>
          <w:sz w:val="21"/>
          <w:szCs w:val="21"/>
        </w:rPr>
        <w:t>　　</w:t>
      </w:r>
      <w:r>
        <w:rPr>
          <w:rFonts w:hint="eastAsia"/>
          <w:sz w:val="21"/>
          <w:szCs w:val="21"/>
        </w:rPr>
        <w:t>1994</w:t>
      </w:r>
      <w:r>
        <w:rPr>
          <w:rFonts w:hint="eastAsia"/>
          <w:sz w:val="21"/>
          <w:szCs w:val="21"/>
        </w:rPr>
        <w:t>年设立全国第一个劳动经济学博士点并首次招收博士生。</w:t>
      </w:r>
    </w:p>
    <w:p>
      <w:pPr>
        <w:pStyle w:val="Style18"/>
        <w:spacing w:lineRule="exact" w:line="500" w:before="100" w:after="100"/>
        <w:ind w:firstLine="420" w:end="0"/>
        <w:contextualSpacing/>
        <w:rPr>
          <w:rFonts w:hint="eastAsia"/>
          <w:sz w:val="21"/>
          <w:szCs w:val="21"/>
        </w:rPr>
      </w:pPr>
      <w:r>
        <w:rPr>
          <w:rFonts w:hint="eastAsia"/>
          <w:sz w:val="21"/>
          <w:szCs w:val="21"/>
        </w:rPr>
        <w:t>2003</w:t>
      </w:r>
      <w:r>
        <w:rPr>
          <w:rFonts w:hint="eastAsia"/>
          <w:sz w:val="21"/>
          <w:szCs w:val="21"/>
        </w:rPr>
        <w:t>年人力资源管理专业成为全国惟一拥有学士、硕士、博士完整培养体系的学科。</w:t>
      </w:r>
    </w:p>
    <w:p>
      <w:pPr>
        <w:pStyle w:val="Style18"/>
        <w:spacing w:lineRule="exact" w:line="500" w:before="100" w:after="100"/>
        <w:ind w:firstLine="420" w:end="0"/>
        <w:contextualSpacing/>
        <w:rPr>
          <w:rFonts w:hint="eastAsia"/>
          <w:sz w:val="21"/>
          <w:szCs w:val="21"/>
        </w:rPr>
      </w:pPr>
      <w:r>
        <w:rPr>
          <w:rFonts w:hint="eastAsia"/>
          <w:sz w:val="21"/>
          <w:szCs w:val="21"/>
        </w:rPr>
      </w:r>
    </w:p>
    <w:p>
      <w:pPr>
        <w:pStyle w:val="Style18"/>
        <w:numPr>
          <w:ilvl w:val="0"/>
          <w:numId w:val="2"/>
        </w:numPr>
        <w:spacing w:lineRule="exact" w:line="500" w:before="100" w:after="280"/>
        <w:rPr>
          <w:b/>
          <w:color w:val="C00000"/>
          <w:sz w:val="21"/>
          <w:szCs w:val="21"/>
        </w:rPr>
      </w:pPr>
      <w:r>
        <w:rPr>
          <w:b/>
          <w:color w:val="C00000"/>
          <w:sz w:val="21"/>
          <w:szCs w:val="21"/>
        </w:rPr>
        <w:t>课程安排</w:t>
      </w:r>
    </w:p>
    <w:p>
      <w:pPr>
        <w:pStyle w:val="Style18"/>
        <w:widowControl/>
        <w:numPr>
          <w:ilvl w:val="0"/>
          <w:numId w:val="0"/>
        </w:numPr>
        <w:spacing w:lineRule="exact" w:line="500" w:before="100" w:after="100"/>
        <w:ind w:hanging="0" w:start="0"/>
        <w:contextualSpacing/>
        <w:jc w:val="start"/>
        <w:rPr>
          <w:rFonts w:hint="eastAsia"/>
          <w:b/>
          <w:color w:val="C00000"/>
          <w:sz w:val="21"/>
          <w:szCs w:val="21"/>
        </w:rPr>
      </w:pPr>
      <w:r>
        <w:rPr>
          <w:rFonts w:hint="eastAsia"/>
          <w:b/>
          <w:color w:val="C00000"/>
          <w:sz w:val="21"/>
          <w:szCs w:val="21"/>
        </w:rPr>
      </w:r>
    </w:p>
    <w:p>
      <w:pPr>
        <w:pStyle w:val="Style18"/>
        <w:widowControl/>
        <w:numPr>
          <w:ilvl w:val="0"/>
          <w:numId w:val="0"/>
        </w:numPr>
        <w:spacing w:lineRule="exact" w:line="500" w:before="100" w:after="100"/>
        <w:ind w:hanging="0" w:start="0"/>
        <w:contextualSpacing/>
        <w:jc w:val="start"/>
        <w:rPr>
          <w:rFonts w:hint="eastAsia"/>
          <w:b/>
          <w:color w:val="C00000"/>
          <w:sz w:val="21"/>
          <w:szCs w:val="21"/>
        </w:rPr>
      </w:pPr>
      <w:r>
        <w:rPr>
          <w:rFonts w:hint="eastAsia"/>
          <w:b/>
          <w:color w:val="C00000"/>
          <w:sz w:val="21"/>
          <w:szCs w:val="21"/>
        </w:rPr>
      </w:r>
    </w:p>
    <w:p>
      <w:pPr>
        <w:pStyle w:val="Style18"/>
        <w:widowControl/>
        <w:numPr>
          <w:ilvl w:val="0"/>
          <w:numId w:val="0"/>
        </w:numPr>
        <w:spacing w:lineRule="exact" w:line="500" w:before="100" w:after="100"/>
        <w:ind w:hanging="0" w:start="0"/>
        <w:contextualSpacing/>
        <w:jc w:val="start"/>
        <w:rPr>
          <w:rFonts w:hint="eastAsia"/>
          <w:b/>
          <w:color w:val="C00000"/>
          <w:sz w:val="21"/>
          <w:szCs w:val="21"/>
        </w:rPr>
      </w:pPr>
      <w:r>
        <w:rPr>
          <w:rFonts w:hint="eastAsia"/>
          <w:b/>
          <w:color w:val="C00000"/>
          <w:sz w:val="21"/>
          <w:szCs w:val="21"/>
        </w:rPr>
      </w:r>
    </w:p>
    <w:p>
      <w:pPr>
        <w:pStyle w:val="Style18"/>
        <w:widowControl/>
        <w:numPr>
          <w:ilvl w:val="0"/>
          <w:numId w:val="0"/>
        </w:numPr>
        <w:spacing w:lineRule="exact" w:line="500" w:before="100" w:after="100"/>
        <w:ind w:hanging="0" w:start="0"/>
        <w:contextualSpacing/>
        <w:jc w:val="start"/>
        <w:rPr>
          <w:rFonts w:hint="eastAsia"/>
          <w:b/>
          <w:color w:val="C00000"/>
          <w:sz w:val="21"/>
          <w:szCs w:val="21"/>
        </w:rPr>
      </w:pPr>
      <w:r>
        <w:rPr>
          <w:rFonts w:hint="eastAsia"/>
          <w:b/>
          <w:color w:val="C00000"/>
          <w:sz w:val="21"/>
          <w:szCs w:val="21"/>
        </w:rPr>
      </w:r>
    </w:p>
    <w:p>
      <w:pPr>
        <w:pStyle w:val="Style18"/>
        <w:widowControl/>
        <w:numPr>
          <w:ilvl w:val="0"/>
          <w:numId w:val="0"/>
        </w:numPr>
        <w:spacing w:lineRule="exact" w:line="500" w:before="100" w:after="100"/>
        <w:ind w:hanging="0" w:start="0"/>
        <w:contextualSpacing/>
        <w:jc w:val="start"/>
        <w:rPr>
          <w:rFonts w:hint="eastAsia"/>
          <w:b/>
          <w:color w:val="C00000"/>
          <w:sz w:val="21"/>
          <w:szCs w:val="21"/>
        </w:rPr>
      </w:pPr>
      <w:r>
        <w:rPr>
          <w:rFonts w:hint="eastAsia"/>
          <w:b/>
          <w:color w:val="C00000"/>
          <w:sz w:val="21"/>
          <w:szCs w:val="21"/>
        </w:rPr>
      </w:r>
    </w:p>
    <w:p>
      <w:pPr>
        <w:pStyle w:val="Style18"/>
        <w:widowControl/>
        <w:numPr>
          <w:ilvl w:val="0"/>
          <w:numId w:val="0"/>
        </w:numPr>
        <w:spacing w:lineRule="exact" w:line="500" w:before="100" w:after="100"/>
        <w:ind w:hanging="0" w:start="0"/>
        <w:contextualSpacing/>
        <w:jc w:val="start"/>
        <w:rPr>
          <w:rFonts w:hint="eastAsia"/>
          <w:b/>
          <w:color w:val="C00000"/>
          <w:sz w:val="21"/>
          <w:szCs w:val="21"/>
        </w:rPr>
      </w:pPr>
      <w:r>
        <w:rPr>
          <w:rFonts w:hint="eastAsia"/>
          <w:b/>
          <w:color w:val="C00000"/>
          <w:sz w:val="21"/>
          <w:szCs w:val="21"/>
        </w:rPr>
      </w:r>
    </w:p>
    <w:tbl>
      <w:tblPr>
        <w:tblW w:w="7655" w:type="dxa"/>
        <w:jc w:val="center"/>
        <w:tblInd w:w="0" w:type="dxa"/>
        <w:tblLayout w:type="fixed"/>
        <w:tblCellMar>
          <w:top w:w="0" w:type="dxa"/>
          <w:start w:w="108" w:type="dxa"/>
          <w:bottom w:w="0" w:type="dxa"/>
          <w:end w:w="108" w:type="dxa"/>
        </w:tblCellMar>
      </w:tblPr>
      <w:tblGrid>
        <w:gridCol w:w="2344"/>
        <w:gridCol w:w="2726"/>
        <w:gridCol w:w="2585"/>
      </w:tblGrid>
      <w:tr>
        <w:trPr>
          <w:trHeight w:val="567" w:hRule="atLeast"/>
        </w:trPr>
        <w:tc>
          <w:tcPr>
            <w:tcW w:w="7655" w:type="dxa"/>
            <w:gridSpan w:val="3"/>
            <w:tcBorders>
              <w:top w:val="single" w:sz="4" w:space="0" w:color="000000"/>
              <w:start w:val="single" w:sz="4" w:space="0" w:color="000000"/>
              <w:bottom w:val="single" w:sz="4" w:space="0" w:color="000000"/>
              <w:end w:val="single" w:sz="4" w:space="0" w:color="000000"/>
            </w:tcBorders>
            <w:vAlign w:val="center"/>
          </w:tcPr>
          <w:p>
            <w:pPr>
              <w:pStyle w:val="Heading6"/>
              <w:widowControl/>
              <w:spacing w:before="225" w:after="75"/>
              <w:ind w:hanging="0" w:start="0"/>
              <w:jc w:val="center"/>
              <w:rPr>
                <w:rFonts w:cs="微软雅黑"/>
                <w:b w:val="false"/>
                <w:color w:val="000000"/>
                <w:sz w:val="21"/>
                <w:szCs w:val="21"/>
                <w:lang w:bidi="ar"/>
              </w:rPr>
            </w:pPr>
            <w:r>
              <w:rPr>
                <w:rFonts w:cs="微软雅黑" w:hint="eastAsia"/>
                <w:b/>
                <w:bCs/>
                <w:color w:val="000000"/>
                <w:sz w:val="21"/>
                <w:szCs w:val="21"/>
                <w:lang w:bidi="ar"/>
              </w:rPr>
              <w:t>人力资源管理专业课程设置</w:t>
            </w:r>
          </w:p>
        </w:tc>
      </w:tr>
      <w:tr>
        <w:trPr>
          <w:trHeight w:val="567" w:hRule="atLeast"/>
        </w:trPr>
        <w:tc>
          <w:tcPr>
            <w:tcW w:w="2344" w:type="dxa"/>
            <w:tcBorders>
              <w:top w:val="single" w:sz="4" w:space="0" w:color="000000"/>
              <w:start w:val="single" w:sz="4" w:space="0" w:color="000000"/>
              <w:bottom w:val="single" w:sz="4" w:space="0" w:color="000000"/>
              <w:end w:val="single" w:sz="4" w:space="0" w:color="000000"/>
            </w:tcBorders>
            <w:vAlign w:val="center"/>
          </w:tcPr>
          <w:p>
            <w:pPr>
              <w:pStyle w:val="Heading6"/>
              <w:widowControl/>
              <w:spacing w:before="225" w:after="75"/>
              <w:ind w:hanging="0" w:start="0"/>
              <w:jc w:val="center"/>
              <w:rPr>
                <w:rFonts w:cs="微软雅黑"/>
                <w:b w:val="false"/>
                <w:color w:val="000000"/>
                <w:sz w:val="21"/>
                <w:szCs w:val="21"/>
                <w:lang w:bidi="ar"/>
              </w:rPr>
            </w:pPr>
            <w:r>
              <w:rPr>
                <w:rFonts w:cs="微软雅黑" w:hint="eastAsia"/>
                <w:b w:val="false"/>
                <w:color w:val="000000"/>
                <w:sz w:val="21"/>
                <w:szCs w:val="21"/>
                <w:lang w:bidi="ar"/>
              </w:rPr>
              <w:t>新时代中国特色社会主义理论与实践</w:t>
            </w:r>
          </w:p>
        </w:tc>
        <w:tc>
          <w:tcPr>
            <w:tcW w:w="2726" w:type="dxa"/>
            <w:tcBorders>
              <w:top w:val="single" w:sz="4" w:space="0" w:color="000000"/>
              <w:start w:val="single" w:sz="4" w:space="0" w:color="000000"/>
              <w:bottom w:val="single" w:sz="4" w:space="0" w:color="000000"/>
              <w:end w:val="single" w:sz="4" w:space="0" w:color="000000"/>
            </w:tcBorders>
            <w:vAlign w:val="center"/>
          </w:tcPr>
          <w:p>
            <w:pPr>
              <w:pStyle w:val="Heading6"/>
              <w:widowControl/>
              <w:spacing w:before="225" w:after="75"/>
              <w:ind w:hanging="0" w:start="0"/>
              <w:jc w:val="center"/>
              <w:rPr>
                <w:rFonts w:cs="微软雅黑"/>
                <w:b w:val="false"/>
                <w:color w:val="000000"/>
                <w:sz w:val="21"/>
                <w:szCs w:val="21"/>
                <w:lang w:bidi="ar"/>
              </w:rPr>
            </w:pPr>
            <w:r>
              <w:rPr>
                <w:rFonts w:cs="微软雅黑" w:hint="eastAsia"/>
                <w:b w:val="false"/>
                <w:color w:val="000000"/>
                <w:sz w:val="21"/>
                <w:szCs w:val="21"/>
                <w:lang w:bidi="ar"/>
              </w:rPr>
              <w:t>马克思主义与社会科学方法论</w:t>
            </w:r>
          </w:p>
        </w:tc>
        <w:tc>
          <w:tcPr>
            <w:tcW w:w="2585" w:type="dxa"/>
            <w:tcBorders>
              <w:top w:val="single" w:sz="4" w:space="0" w:color="000000"/>
              <w:start w:val="single" w:sz="4" w:space="0" w:color="000000"/>
              <w:bottom w:val="single" w:sz="4" w:space="0" w:color="000000"/>
              <w:end w:val="single" w:sz="4" w:space="0" w:color="000000"/>
            </w:tcBorders>
            <w:vAlign w:val="center"/>
          </w:tcPr>
          <w:p>
            <w:pPr>
              <w:pStyle w:val="Heading6"/>
              <w:widowControl/>
              <w:spacing w:before="225" w:after="75"/>
              <w:ind w:hanging="0" w:start="0"/>
              <w:jc w:val="center"/>
              <w:rPr>
                <w:rFonts w:cs="微软雅黑"/>
                <w:b w:val="false"/>
                <w:color w:val="000000"/>
                <w:sz w:val="21"/>
                <w:szCs w:val="21"/>
                <w:lang w:bidi="ar"/>
              </w:rPr>
            </w:pPr>
            <w:r>
              <w:rPr>
                <w:rFonts w:cs="微软雅黑" w:hint="eastAsia"/>
                <w:b w:val="false"/>
                <w:color w:val="000000"/>
                <w:sz w:val="21"/>
                <w:szCs w:val="21"/>
                <w:lang w:bidi="ar"/>
              </w:rPr>
              <w:t>语言基础</w:t>
            </w:r>
          </w:p>
        </w:tc>
      </w:tr>
      <w:tr>
        <w:trPr>
          <w:trHeight w:val="567" w:hRule="atLeast"/>
        </w:trPr>
        <w:tc>
          <w:tcPr>
            <w:tcW w:w="2344" w:type="dxa"/>
            <w:tcBorders>
              <w:top w:val="single" w:sz="4" w:space="0" w:color="000000"/>
              <w:start w:val="single" w:sz="4" w:space="0" w:color="000000"/>
              <w:bottom w:val="single" w:sz="4" w:space="0" w:color="000000"/>
              <w:end w:val="single" w:sz="4" w:space="0" w:color="000000"/>
            </w:tcBorders>
            <w:vAlign w:val="center"/>
          </w:tcPr>
          <w:p>
            <w:pPr>
              <w:pStyle w:val="Heading6"/>
              <w:widowControl/>
              <w:spacing w:before="225" w:after="75"/>
              <w:ind w:hanging="0" w:start="0"/>
              <w:jc w:val="center"/>
              <w:rPr>
                <w:rFonts w:cs="微软雅黑"/>
                <w:b w:val="false"/>
                <w:color w:val="000000"/>
                <w:sz w:val="21"/>
                <w:szCs w:val="21"/>
                <w:lang w:bidi="ar"/>
              </w:rPr>
            </w:pPr>
            <w:r>
              <w:rPr>
                <w:rFonts w:cs="微软雅黑" w:hint="eastAsia"/>
                <w:b w:val="false"/>
                <w:color w:val="000000"/>
                <w:sz w:val="21"/>
                <w:szCs w:val="21"/>
                <w:lang w:bidi="ar"/>
              </w:rPr>
              <w:t>管理学原理</w:t>
            </w:r>
          </w:p>
        </w:tc>
        <w:tc>
          <w:tcPr>
            <w:tcW w:w="2726" w:type="dxa"/>
            <w:tcBorders>
              <w:top w:val="single" w:sz="4" w:space="0" w:color="000000"/>
              <w:start w:val="single" w:sz="4" w:space="0" w:color="000000"/>
              <w:bottom w:val="single" w:sz="4" w:space="0" w:color="000000"/>
              <w:end w:val="single" w:sz="4" w:space="0" w:color="000000"/>
            </w:tcBorders>
            <w:vAlign w:val="center"/>
          </w:tcPr>
          <w:p>
            <w:pPr>
              <w:pStyle w:val="Heading6"/>
              <w:widowControl/>
              <w:spacing w:before="225" w:after="75"/>
              <w:ind w:hanging="0" w:start="0"/>
              <w:jc w:val="center"/>
              <w:rPr>
                <w:rFonts w:cs="微软雅黑"/>
                <w:b w:val="false"/>
                <w:color w:val="000000"/>
                <w:sz w:val="21"/>
                <w:szCs w:val="21"/>
                <w:lang w:bidi="ar"/>
              </w:rPr>
            </w:pPr>
            <w:r>
              <w:rPr>
                <w:rFonts w:cs="微软雅黑" w:hint="eastAsia"/>
                <w:b w:val="false"/>
                <w:color w:val="000000"/>
                <w:sz w:val="21"/>
                <w:szCs w:val="21"/>
                <w:lang w:bidi="ar"/>
              </w:rPr>
              <w:t>组织行为学前沿</w:t>
            </w:r>
          </w:p>
        </w:tc>
        <w:tc>
          <w:tcPr>
            <w:tcW w:w="2585" w:type="dxa"/>
            <w:tcBorders>
              <w:top w:val="single" w:sz="4" w:space="0" w:color="000000"/>
              <w:start w:val="single" w:sz="4" w:space="0" w:color="000000"/>
              <w:bottom w:val="single" w:sz="4" w:space="0" w:color="000000"/>
              <w:end w:val="single" w:sz="4" w:space="0" w:color="000000"/>
            </w:tcBorders>
            <w:vAlign w:val="center"/>
          </w:tcPr>
          <w:p>
            <w:pPr>
              <w:pStyle w:val="Heading6"/>
              <w:widowControl/>
              <w:spacing w:before="225" w:after="75"/>
              <w:ind w:hanging="0" w:start="0"/>
              <w:jc w:val="center"/>
              <w:rPr>
                <w:rFonts w:cs="微软雅黑"/>
                <w:b w:val="false"/>
                <w:color w:val="000000"/>
                <w:sz w:val="21"/>
                <w:szCs w:val="21"/>
                <w:lang w:bidi="ar"/>
              </w:rPr>
            </w:pPr>
            <w:r>
              <w:rPr>
                <w:rFonts w:cs="微软雅黑" w:hint="eastAsia"/>
                <w:b w:val="false"/>
                <w:color w:val="000000"/>
                <w:sz w:val="21"/>
                <w:szCs w:val="21"/>
                <w:lang w:bidi="ar"/>
              </w:rPr>
              <w:t>财务管理</w:t>
            </w:r>
          </w:p>
        </w:tc>
      </w:tr>
      <w:tr>
        <w:trPr>
          <w:trHeight w:val="567" w:hRule="atLeast"/>
        </w:trPr>
        <w:tc>
          <w:tcPr>
            <w:tcW w:w="2344" w:type="dxa"/>
            <w:tcBorders>
              <w:top w:val="single" w:sz="4" w:space="0" w:color="000000"/>
              <w:start w:val="single" w:sz="4" w:space="0" w:color="000000"/>
              <w:bottom w:val="single" w:sz="4" w:space="0" w:color="000000"/>
              <w:end w:val="single" w:sz="4" w:space="0" w:color="000000"/>
            </w:tcBorders>
            <w:vAlign w:val="center"/>
          </w:tcPr>
          <w:p>
            <w:pPr>
              <w:pStyle w:val="Heading6"/>
              <w:widowControl/>
              <w:spacing w:before="225" w:after="75"/>
              <w:ind w:hanging="0" w:start="0"/>
              <w:jc w:val="center"/>
              <w:rPr>
                <w:rFonts w:cs="微软雅黑"/>
                <w:b w:val="false"/>
                <w:color w:val="000000"/>
                <w:sz w:val="21"/>
                <w:szCs w:val="21"/>
                <w:lang w:bidi="ar"/>
              </w:rPr>
            </w:pPr>
            <w:r>
              <w:rPr>
                <w:rFonts w:cs="微软雅黑" w:hint="eastAsia"/>
                <w:b w:val="false"/>
                <w:color w:val="000000"/>
                <w:sz w:val="21"/>
                <w:szCs w:val="21"/>
                <w:lang w:bidi="ar"/>
              </w:rPr>
              <w:t>劳动经济学</w:t>
            </w:r>
          </w:p>
        </w:tc>
        <w:tc>
          <w:tcPr>
            <w:tcW w:w="2726" w:type="dxa"/>
            <w:tcBorders>
              <w:top w:val="single" w:sz="4" w:space="0" w:color="000000"/>
              <w:start w:val="single" w:sz="4" w:space="0" w:color="000000"/>
              <w:bottom w:val="single" w:sz="4" w:space="0" w:color="000000"/>
              <w:end w:val="single" w:sz="4" w:space="0" w:color="000000"/>
            </w:tcBorders>
            <w:vAlign w:val="center"/>
          </w:tcPr>
          <w:p>
            <w:pPr>
              <w:pStyle w:val="Heading6"/>
              <w:widowControl/>
              <w:spacing w:before="225" w:after="75"/>
              <w:ind w:hanging="0" w:start="0"/>
              <w:jc w:val="center"/>
              <w:rPr>
                <w:rFonts w:cs="微软雅黑"/>
                <w:b w:val="false"/>
                <w:color w:val="000000"/>
                <w:sz w:val="21"/>
                <w:szCs w:val="21"/>
                <w:lang w:bidi="ar"/>
              </w:rPr>
            </w:pPr>
            <w:r>
              <w:rPr>
                <w:rFonts w:cs="微软雅黑" w:hint="eastAsia"/>
                <w:b w:val="false"/>
                <w:color w:val="000000"/>
                <w:sz w:val="21"/>
                <w:szCs w:val="21"/>
                <w:lang w:bidi="ar"/>
              </w:rPr>
              <w:t>管理技能开发</w:t>
            </w:r>
          </w:p>
        </w:tc>
        <w:tc>
          <w:tcPr>
            <w:tcW w:w="2585" w:type="dxa"/>
            <w:tcBorders>
              <w:top w:val="single" w:sz="4" w:space="0" w:color="000000"/>
              <w:start w:val="single" w:sz="4" w:space="0" w:color="000000"/>
              <w:bottom w:val="single" w:sz="4" w:space="0" w:color="000000"/>
              <w:end w:val="single" w:sz="4" w:space="0" w:color="000000"/>
            </w:tcBorders>
            <w:vAlign w:val="center"/>
          </w:tcPr>
          <w:p>
            <w:pPr>
              <w:pStyle w:val="Heading6"/>
              <w:widowControl/>
              <w:spacing w:before="225" w:after="75"/>
              <w:ind w:hanging="0" w:start="0"/>
              <w:jc w:val="center"/>
              <w:rPr>
                <w:rFonts w:cs="微软雅黑"/>
                <w:b w:val="false"/>
                <w:color w:val="000000"/>
                <w:sz w:val="21"/>
                <w:szCs w:val="21"/>
                <w:lang w:bidi="ar"/>
              </w:rPr>
            </w:pPr>
            <w:r>
              <w:rPr>
                <w:rFonts w:cs="微软雅黑" w:hint="eastAsia"/>
                <w:b w:val="false"/>
                <w:color w:val="000000"/>
                <w:sz w:val="21"/>
                <w:szCs w:val="21"/>
                <w:lang w:bidi="ar"/>
              </w:rPr>
              <w:t>企业战略管理</w:t>
            </w:r>
          </w:p>
        </w:tc>
      </w:tr>
      <w:tr>
        <w:trPr>
          <w:trHeight w:val="567" w:hRule="atLeast"/>
        </w:trPr>
        <w:tc>
          <w:tcPr>
            <w:tcW w:w="2344" w:type="dxa"/>
            <w:tcBorders>
              <w:top w:val="single" w:sz="4" w:space="0" w:color="000000"/>
              <w:start w:val="single" w:sz="4" w:space="0" w:color="000000"/>
              <w:bottom w:val="single" w:sz="4" w:space="0" w:color="000000"/>
              <w:end w:val="single" w:sz="4" w:space="0" w:color="000000"/>
            </w:tcBorders>
            <w:vAlign w:val="center"/>
          </w:tcPr>
          <w:p>
            <w:pPr>
              <w:pStyle w:val="Heading6"/>
              <w:widowControl/>
              <w:spacing w:before="225" w:after="75"/>
              <w:ind w:hanging="0" w:start="0"/>
              <w:jc w:val="center"/>
              <w:rPr>
                <w:rFonts w:cs="微软雅黑"/>
                <w:b w:val="false"/>
                <w:color w:val="000000"/>
                <w:sz w:val="21"/>
                <w:szCs w:val="21"/>
                <w:lang w:bidi="ar"/>
              </w:rPr>
            </w:pPr>
            <w:r>
              <w:rPr>
                <w:rFonts w:cs="微软雅黑" w:hint="eastAsia"/>
                <w:b w:val="false"/>
                <w:color w:val="000000"/>
                <w:sz w:val="21"/>
                <w:szCs w:val="21"/>
                <w:lang w:bidi="ar"/>
              </w:rPr>
              <w:t>市场营销管理</w:t>
            </w:r>
          </w:p>
        </w:tc>
        <w:tc>
          <w:tcPr>
            <w:tcW w:w="2726" w:type="dxa"/>
            <w:tcBorders>
              <w:top w:val="single" w:sz="4" w:space="0" w:color="000000"/>
              <w:start w:val="single" w:sz="4" w:space="0" w:color="000000"/>
              <w:bottom w:val="single" w:sz="4" w:space="0" w:color="000000"/>
              <w:end w:val="single" w:sz="4" w:space="0" w:color="000000"/>
            </w:tcBorders>
            <w:vAlign w:val="center"/>
          </w:tcPr>
          <w:p>
            <w:pPr>
              <w:pStyle w:val="Heading6"/>
              <w:widowControl/>
              <w:spacing w:before="225" w:after="75"/>
              <w:ind w:hanging="0" w:start="0"/>
              <w:jc w:val="center"/>
              <w:rPr>
                <w:rFonts w:cs="微软雅黑"/>
                <w:b w:val="false"/>
                <w:color w:val="000000"/>
                <w:sz w:val="21"/>
                <w:szCs w:val="21"/>
                <w:lang w:bidi="ar"/>
              </w:rPr>
            </w:pPr>
            <w:r>
              <w:rPr>
                <w:rFonts w:cs="微软雅黑" w:hint="eastAsia"/>
                <w:b w:val="false"/>
                <w:color w:val="000000"/>
                <w:sz w:val="21"/>
                <w:szCs w:val="21"/>
                <w:lang w:bidi="ar"/>
              </w:rPr>
              <w:t>绩效考核与绩效管理</w:t>
            </w:r>
          </w:p>
        </w:tc>
        <w:tc>
          <w:tcPr>
            <w:tcW w:w="2585" w:type="dxa"/>
            <w:tcBorders>
              <w:top w:val="single" w:sz="4" w:space="0" w:color="000000"/>
              <w:start w:val="single" w:sz="4" w:space="0" w:color="000000"/>
              <w:bottom w:val="single" w:sz="4" w:space="0" w:color="000000"/>
              <w:end w:val="single" w:sz="4" w:space="0" w:color="000000"/>
            </w:tcBorders>
            <w:vAlign w:val="center"/>
          </w:tcPr>
          <w:p>
            <w:pPr>
              <w:pStyle w:val="Heading6"/>
              <w:widowControl/>
              <w:spacing w:before="225" w:after="75"/>
              <w:ind w:hanging="0" w:start="0"/>
              <w:jc w:val="center"/>
              <w:rPr>
                <w:rFonts w:cs="微软雅黑"/>
                <w:b w:val="false"/>
                <w:color w:val="000000"/>
                <w:sz w:val="21"/>
                <w:szCs w:val="21"/>
                <w:lang w:bidi="ar"/>
              </w:rPr>
            </w:pPr>
            <w:r>
              <w:rPr>
                <w:rFonts w:cs="微软雅黑" w:hint="eastAsia"/>
                <w:b w:val="false"/>
                <w:color w:val="000000"/>
                <w:sz w:val="21"/>
                <w:szCs w:val="21"/>
                <w:lang w:bidi="ar"/>
              </w:rPr>
              <w:t>薪酬理论与管理</w:t>
            </w:r>
          </w:p>
        </w:tc>
      </w:tr>
      <w:tr>
        <w:trPr>
          <w:trHeight w:val="567" w:hRule="atLeast"/>
        </w:trPr>
        <w:tc>
          <w:tcPr>
            <w:tcW w:w="2344" w:type="dxa"/>
            <w:tcBorders>
              <w:top w:val="single" w:sz="4" w:space="0" w:color="000000"/>
              <w:start w:val="single" w:sz="4" w:space="0" w:color="000000"/>
              <w:bottom w:val="single" w:sz="4" w:space="0" w:color="000000"/>
              <w:end w:val="single" w:sz="4" w:space="0" w:color="000000"/>
            </w:tcBorders>
            <w:vAlign w:val="center"/>
          </w:tcPr>
          <w:p>
            <w:pPr>
              <w:pStyle w:val="Heading6"/>
              <w:widowControl/>
              <w:spacing w:before="225" w:after="75"/>
              <w:ind w:hanging="0" w:start="0"/>
              <w:jc w:val="center"/>
              <w:rPr>
                <w:rFonts w:cs="微软雅黑"/>
                <w:b w:val="false"/>
                <w:color w:val="000000"/>
                <w:sz w:val="21"/>
                <w:szCs w:val="21"/>
                <w:lang w:bidi="ar"/>
              </w:rPr>
            </w:pPr>
            <w:r>
              <w:rPr>
                <w:rFonts w:cs="微软雅黑" w:hint="eastAsia"/>
                <w:b w:val="false"/>
                <w:color w:val="000000"/>
                <w:sz w:val="21"/>
                <w:szCs w:val="21"/>
                <w:lang w:bidi="ar"/>
              </w:rPr>
              <w:t>人员素质测评</w:t>
            </w:r>
          </w:p>
        </w:tc>
        <w:tc>
          <w:tcPr>
            <w:tcW w:w="2726" w:type="dxa"/>
            <w:tcBorders>
              <w:top w:val="single" w:sz="4" w:space="0" w:color="000000"/>
              <w:start w:val="single" w:sz="4" w:space="0" w:color="000000"/>
              <w:bottom w:val="single" w:sz="4" w:space="0" w:color="000000"/>
              <w:end w:val="single" w:sz="4" w:space="0" w:color="000000"/>
            </w:tcBorders>
            <w:vAlign w:val="center"/>
          </w:tcPr>
          <w:p>
            <w:pPr>
              <w:pStyle w:val="Heading6"/>
              <w:widowControl/>
              <w:spacing w:before="225" w:after="75"/>
              <w:ind w:hanging="0" w:start="0"/>
              <w:jc w:val="center"/>
              <w:rPr>
                <w:rFonts w:cs="微软雅黑"/>
                <w:b w:val="false"/>
                <w:color w:val="000000"/>
                <w:sz w:val="21"/>
                <w:szCs w:val="21"/>
                <w:lang w:bidi="ar"/>
              </w:rPr>
            </w:pPr>
            <w:r>
              <w:rPr>
                <w:rFonts w:cs="微软雅黑" w:hint="eastAsia"/>
                <w:b w:val="false"/>
                <w:color w:val="000000"/>
                <w:sz w:val="21"/>
                <w:szCs w:val="21"/>
                <w:lang w:bidi="ar"/>
              </w:rPr>
              <w:t>高绩效团队建设与管理</w:t>
            </w:r>
          </w:p>
        </w:tc>
        <w:tc>
          <w:tcPr>
            <w:tcW w:w="2585" w:type="dxa"/>
            <w:tcBorders>
              <w:top w:val="single" w:sz="4" w:space="0" w:color="000000"/>
              <w:start w:val="single" w:sz="4" w:space="0" w:color="000000"/>
              <w:bottom w:val="single" w:sz="4" w:space="0" w:color="000000"/>
              <w:end w:val="single" w:sz="4" w:space="0" w:color="000000"/>
            </w:tcBorders>
            <w:vAlign w:val="center"/>
          </w:tcPr>
          <w:p>
            <w:pPr>
              <w:pStyle w:val="Heading6"/>
              <w:widowControl/>
              <w:spacing w:before="225" w:after="75"/>
              <w:ind w:hanging="0" w:start="0"/>
              <w:jc w:val="center"/>
              <w:rPr>
                <w:rFonts w:cs="微软雅黑"/>
                <w:b w:val="false"/>
                <w:color w:val="000000"/>
                <w:sz w:val="21"/>
                <w:szCs w:val="21"/>
                <w:lang w:bidi="ar"/>
              </w:rPr>
            </w:pPr>
            <w:r>
              <w:rPr>
                <w:rFonts w:cs="微软雅黑" w:hint="eastAsia"/>
                <w:b w:val="false"/>
                <w:color w:val="000000"/>
                <w:sz w:val="21"/>
                <w:szCs w:val="21"/>
                <w:lang w:bidi="ar"/>
              </w:rPr>
              <w:t>领导学</w:t>
            </w:r>
          </w:p>
        </w:tc>
      </w:tr>
      <w:tr>
        <w:trPr>
          <w:trHeight w:val="567" w:hRule="atLeast"/>
        </w:trPr>
        <w:tc>
          <w:tcPr>
            <w:tcW w:w="2344" w:type="dxa"/>
            <w:tcBorders>
              <w:top w:val="single" w:sz="4" w:space="0" w:color="000000"/>
              <w:start w:val="single" w:sz="4" w:space="0" w:color="000000"/>
              <w:bottom w:val="single" w:sz="4" w:space="0" w:color="000000"/>
              <w:end w:val="single" w:sz="4" w:space="0" w:color="000000"/>
            </w:tcBorders>
            <w:vAlign w:val="center"/>
          </w:tcPr>
          <w:p>
            <w:pPr>
              <w:pStyle w:val="Heading6"/>
              <w:widowControl/>
              <w:spacing w:before="225" w:after="75"/>
              <w:ind w:hanging="0" w:start="0"/>
              <w:jc w:val="center"/>
              <w:rPr>
                <w:rFonts w:cs="微软雅黑"/>
                <w:b w:val="false"/>
                <w:color w:val="000000"/>
                <w:sz w:val="21"/>
                <w:szCs w:val="21"/>
                <w:lang w:bidi="ar"/>
              </w:rPr>
            </w:pPr>
            <w:r>
              <w:rPr>
                <w:rFonts w:cs="微软雅黑" w:hint="eastAsia"/>
                <w:b w:val="false"/>
                <w:color w:val="000000"/>
                <w:sz w:val="21"/>
                <w:szCs w:val="21"/>
                <w:lang w:bidi="ar"/>
              </w:rPr>
              <w:t>管理沟通</w:t>
            </w:r>
          </w:p>
        </w:tc>
        <w:tc>
          <w:tcPr>
            <w:tcW w:w="2726" w:type="dxa"/>
            <w:tcBorders>
              <w:top w:val="single" w:sz="4" w:space="0" w:color="000000"/>
              <w:start w:val="single" w:sz="4" w:space="0" w:color="000000"/>
              <w:bottom w:val="single" w:sz="4" w:space="0" w:color="000000"/>
              <w:end w:val="single" w:sz="4" w:space="0" w:color="000000"/>
            </w:tcBorders>
            <w:vAlign w:val="center"/>
          </w:tcPr>
          <w:p>
            <w:pPr>
              <w:pStyle w:val="Heading6"/>
              <w:widowControl/>
              <w:spacing w:before="225" w:after="75"/>
              <w:ind w:hanging="0" w:start="0"/>
              <w:jc w:val="center"/>
              <w:rPr>
                <w:rFonts w:cs="微软雅黑"/>
                <w:b w:val="false"/>
                <w:color w:val="000000"/>
                <w:sz w:val="21"/>
                <w:szCs w:val="21"/>
                <w:lang w:bidi="ar"/>
              </w:rPr>
            </w:pPr>
            <w:r>
              <w:rPr>
                <w:rFonts w:cs="微软雅黑" w:hint="eastAsia"/>
                <w:b w:val="false"/>
                <w:color w:val="000000"/>
                <w:sz w:val="21"/>
                <w:szCs w:val="21"/>
                <w:lang w:bidi="ar"/>
              </w:rPr>
              <w:t>人力资本服务理论与应用</w:t>
            </w:r>
          </w:p>
        </w:tc>
        <w:tc>
          <w:tcPr>
            <w:tcW w:w="2585" w:type="dxa"/>
            <w:tcBorders>
              <w:top w:val="single" w:sz="4" w:space="0" w:color="000000"/>
              <w:start w:val="single" w:sz="4" w:space="0" w:color="000000"/>
              <w:bottom w:val="single" w:sz="4" w:space="0" w:color="000000"/>
              <w:end w:val="single" w:sz="4" w:space="0" w:color="000000"/>
            </w:tcBorders>
            <w:vAlign w:val="center"/>
          </w:tcPr>
          <w:p>
            <w:pPr>
              <w:pStyle w:val="Heading6"/>
              <w:widowControl/>
              <w:spacing w:before="225" w:after="75"/>
              <w:ind w:hanging="0" w:start="0"/>
              <w:jc w:val="center"/>
              <w:rPr>
                <w:rFonts w:cs="微软雅黑"/>
                <w:b w:val="false"/>
                <w:color w:val="000000"/>
                <w:sz w:val="21"/>
                <w:szCs w:val="21"/>
                <w:lang w:bidi="ar"/>
              </w:rPr>
            </w:pPr>
            <w:r>
              <w:rPr>
                <w:rFonts w:cs="微软雅黑" w:hint="eastAsia"/>
                <w:b w:val="false"/>
                <w:color w:val="000000"/>
                <w:sz w:val="21"/>
                <w:szCs w:val="21"/>
                <w:lang w:bidi="ar"/>
              </w:rPr>
              <w:t>人力资源服务业发展前沿</w:t>
            </w:r>
          </w:p>
        </w:tc>
      </w:tr>
      <w:tr>
        <w:trPr>
          <w:trHeight w:val="567" w:hRule="atLeast"/>
        </w:trPr>
        <w:tc>
          <w:tcPr>
            <w:tcW w:w="2344" w:type="dxa"/>
            <w:tcBorders>
              <w:top w:val="single" w:sz="4" w:space="0" w:color="000000"/>
              <w:start w:val="single" w:sz="4" w:space="0" w:color="000000"/>
              <w:bottom w:val="single" w:sz="4" w:space="0" w:color="000000"/>
              <w:end w:val="single" w:sz="4" w:space="0" w:color="000000"/>
            </w:tcBorders>
            <w:vAlign w:val="center"/>
          </w:tcPr>
          <w:p>
            <w:pPr>
              <w:pStyle w:val="Heading6"/>
              <w:widowControl/>
              <w:spacing w:before="225" w:after="75"/>
              <w:ind w:hanging="0" w:start="0"/>
              <w:jc w:val="center"/>
              <w:rPr>
                <w:rFonts w:cs="微软雅黑" w:hint="eastAsia"/>
                <w:b w:val="false"/>
                <w:color w:val="000000"/>
                <w:sz w:val="21"/>
                <w:szCs w:val="21"/>
                <w:lang w:bidi="ar"/>
              </w:rPr>
            </w:pPr>
            <w:r>
              <w:rPr>
                <w:rFonts w:cs="微软雅黑" w:hint="eastAsia"/>
                <w:b w:val="false"/>
                <w:color w:val="000000"/>
                <w:sz w:val="21"/>
                <w:szCs w:val="21"/>
                <w:lang w:bidi="ar"/>
              </w:rPr>
              <w:t>人力资源服务企业战略与运营</w:t>
            </w:r>
          </w:p>
        </w:tc>
        <w:tc>
          <w:tcPr>
            <w:tcW w:w="2726" w:type="dxa"/>
            <w:tcBorders>
              <w:top w:val="single" w:sz="4" w:space="0" w:color="000000"/>
              <w:start w:val="single" w:sz="4" w:space="0" w:color="000000"/>
              <w:bottom w:val="single" w:sz="4" w:space="0" w:color="000000"/>
              <w:end w:val="single" w:sz="4" w:space="0" w:color="000000"/>
            </w:tcBorders>
            <w:vAlign w:val="center"/>
          </w:tcPr>
          <w:p>
            <w:pPr>
              <w:pStyle w:val="Heading6"/>
              <w:widowControl/>
              <w:spacing w:before="225" w:after="75"/>
              <w:ind w:hanging="0" w:start="0"/>
              <w:jc w:val="center"/>
              <w:rPr>
                <w:rFonts w:cs="微软雅黑" w:hint="eastAsia"/>
                <w:b w:val="false"/>
                <w:color w:val="000000"/>
                <w:sz w:val="21"/>
                <w:szCs w:val="21"/>
                <w:lang w:bidi="ar"/>
              </w:rPr>
            </w:pPr>
            <w:r>
              <w:rPr>
                <w:rFonts w:cs="微软雅黑" w:hint="eastAsia"/>
                <w:b w:val="false"/>
                <w:color w:val="000000"/>
                <w:sz w:val="21"/>
                <w:szCs w:val="21"/>
                <w:lang w:bidi="ar"/>
              </w:rPr>
              <w:t>中国人力资源服务业专题研究</w:t>
            </w:r>
          </w:p>
        </w:tc>
        <w:tc>
          <w:tcPr>
            <w:tcW w:w="2585" w:type="dxa"/>
            <w:tcBorders>
              <w:top w:val="single" w:sz="4" w:space="0" w:color="000000"/>
              <w:start w:val="single" w:sz="4" w:space="0" w:color="000000"/>
              <w:bottom w:val="single" w:sz="4" w:space="0" w:color="000000"/>
              <w:end w:val="single" w:sz="4" w:space="0" w:color="000000"/>
            </w:tcBorders>
            <w:vAlign w:val="center"/>
          </w:tcPr>
          <w:p>
            <w:pPr>
              <w:pStyle w:val="Heading6"/>
              <w:widowControl/>
              <w:spacing w:before="225" w:after="75"/>
              <w:ind w:hanging="0" w:start="0"/>
              <w:jc w:val="center"/>
              <w:rPr>
                <w:rFonts w:cs="微软雅黑" w:hint="eastAsia"/>
                <w:b w:val="false"/>
                <w:color w:val="000000"/>
                <w:sz w:val="21"/>
                <w:szCs w:val="21"/>
                <w:lang w:bidi="ar"/>
              </w:rPr>
            </w:pPr>
            <w:r>
              <w:rPr>
                <w:rFonts w:cs="微软雅黑" w:hint="eastAsia"/>
                <w:b w:val="false"/>
                <w:color w:val="000000"/>
                <w:sz w:val="21"/>
                <w:szCs w:val="21"/>
                <w:lang w:bidi="ar"/>
              </w:rPr>
              <w:t>管理学研究中的数据分析方法</w:t>
            </w:r>
          </w:p>
        </w:tc>
      </w:tr>
      <w:tr>
        <w:trPr>
          <w:trHeight w:val="567" w:hRule="atLeast"/>
        </w:trPr>
        <w:tc>
          <w:tcPr>
            <w:tcW w:w="2344" w:type="dxa"/>
            <w:tcBorders>
              <w:top w:val="single" w:sz="4" w:space="0" w:color="000000"/>
              <w:start w:val="single" w:sz="4" w:space="0" w:color="000000"/>
              <w:bottom w:val="single" w:sz="4" w:space="0" w:color="000000"/>
              <w:end w:val="single" w:sz="4" w:space="0" w:color="000000"/>
            </w:tcBorders>
            <w:vAlign w:val="center"/>
          </w:tcPr>
          <w:p>
            <w:pPr>
              <w:pStyle w:val="Heading6"/>
              <w:widowControl/>
              <w:spacing w:before="225" w:after="75"/>
              <w:ind w:hanging="0" w:start="0"/>
              <w:jc w:val="center"/>
              <w:rPr>
                <w:rFonts w:cs="微软雅黑" w:hint="eastAsia"/>
                <w:b w:val="false"/>
                <w:color w:val="000000"/>
                <w:sz w:val="21"/>
                <w:szCs w:val="21"/>
                <w:lang w:bidi="ar"/>
              </w:rPr>
            </w:pPr>
            <w:r>
              <w:rPr>
                <w:rFonts w:cs="微软雅黑" w:hint="eastAsia"/>
                <w:b w:val="false"/>
                <w:color w:val="000000"/>
                <w:sz w:val="21"/>
                <w:szCs w:val="21"/>
                <w:lang w:bidi="ar"/>
              </w:rPr>
              <w:t>学术规范和论文写作</w:t>
            </w:r>
          </w:p>
        </w:tc>
        <w:tc>
          <w:tcPr>
            <w:tcW w:w="2726" w:type="dxa"/>
            <w:tcBorders>
              <w:top w:val="single" w:sz="4" w:space="0" w:color="000000"/>
              <w:start w:val="single" w:sz="4" w:space="0" w:color="000000"/>
              <w:bottom w:val="single" w:sz="4" w:space="0" w:color="000000"/>
              <w:end w:val="single" w:sz="4" w:space="0" w:color="000000"/>
            </w:tcBorders>
            <w:vAlign w:val="center"/>
          </w:tcPr>
          <w:p>
            <w:pPr>
              <w:pStyle w:val="Heading6"/>
              <w:widowControl/>
              <w:spacing w:before="225" w:after="75"/>
              <w:ind w:hanging="0" w:start="0"/>
              <w:jc w:val="center"/>
              <w:rPr>
                <w:rFonts w:cs="微软雅黑" w:hint="eastAsia"/>
                <w:b w:val="false"/>
                <w:color w:val="000000"/>
                <w:sz w:val="21"/>
                <w:szCs w:val="21"/>
                <w:lang w:bidi="ar"/>
              </w:rPr>
            </w:pPr>
            <w:r>
              <w:rPr>
                <w:rFonts w:cs="微软雅黑" w:hint="eastAsia"/>
                <w:b w:val="false"/>
                <w:color w:val="000000"/>
                <w:sz w:val="21"/>
                <w:szCs w:val="21"/>
                <w:lang w:bidi="ar"/>
              </w:rPr>
              <w:t>人力资源培训与开发</w:t>
            </w:r>
          </w:p>
        </w:tc>
        <w:tc>
          <w:tcPr>
            <w:tcW w:w="2585" w:type="dxa"/>
            <w:tcBorders>
              <w:top w:val="single" w:sz="4" w:space="0" w:color="000000"/>
              <w:start w:val="single" w:sz="4" w:space="0" w:color="000000"/>
              <w:bottom w:val="single" w:sz="4" w:space="0" w:color="000000"/>
              <w:end w:val="single" w:sz="4" w:space="0" w:color="000000"/>
            </w:tcBorders>
            <w:vAlign w:val="center"/>
          </w:tcPr>
          <w:p>
            <w:pPr>
              <w:pStyle w:val="Heading6"/>
              <w:widowControl/>
              <w:spacing w:before="225" w:after="75"/>
              <w:ind w:hanging="0" w:start="0"/>
              <w:jc w:val="center"/>
              <w:rPr>
                <w:rFonts w:cs="微软雅黑" w:hint="eastAsia"/>
                <w:b w:val="false"/>
                <w:color w:val="000000"/>
                <w:sz w:val="21"/>
                <w:szCs w:val="21"/>
                <w:lang w:bidi="ar"/>
              </w:rPr>
            </w:pPr>
            <w:r>
              <w:rPr>
                <w:rFonts w:cs="微软雅黑" w:hint="eastAsia"/>
                <w:b w:val="false"/>
                <w:color w:val="000000"/>
                <w:sz w:val="21"/>
                <w:szCs w:val="21"/>
                <w:lang w:bidi="ar"/>
              </w:rPr>
              <w:t>员工关系管理</w:t>
            </w:r>
          </w:p>
        </w:tc>
      </w:tr>
      <w:tr>
        <w:trPr>
          <w:trHeight w:val="567" w:hRule="atLeast"/>
        </w:trPr>
        <w:tc>
          <w:tcPr>
            <w:tcW w:w="2344" w:type="dxa"/>
            <w:tcBorders>
              <w:top w:val="single" w:sz="4" w:space="0" w:color="000000"/>
              <w:start w:val="single" w:sz="4" w:space="0" w:color="000000"/>
              <w:bottom w:val="single" w:sz="4" w:space="0" w:color="000000"/>
              <w:end w:val="single" w:sz="4" w:space="0" w:color="000000"/>
            </w:tcBorders>
            <w:vAlign w:val="center"/>
          </w:tcPr>
          <w:p>
            <w:pPr>
              <w:pStyle w:val="Heading6"/>
              <w:widowControl/>
              <w:spacing w:before="225" w:after="75"/>
              <w:ind w:hanging="0" w:start="0"/>
              <w:jc w:val="center"/>
              <w:rPr>
                <w:rFonts w:cs="微软雅黑" w:hint="eastAsia"/>
                <w:b w:val="false"/>
                <w:color w:val="000000"/>
                <w:sz w:val="21"/>
                <w:szCs w:val="21"/>
                <w:lang w:bidi="ar"/>
              </w:rPr>
            </w:pPr>
            <w:r>
              <w:rPr>
                <w:rFonts w:cs="微软雅黑" w:hint="eastAsia"/>
                <w:b w:val="false"/>
                <w:color w:val="000000"/>
                <w:sz w:val="21"/>
                <w:szCs w:val="21"/>
                <w:lang w:bidi="ar"/>
              </w:rPr>
              <w:t>战略人力资源管理前沿</w:t>
            </w:r>
          </w:p>
        </w:tc>
        <w:tc>
          <w:tcPr>
            <w:tcW w:w="2726" w:type="dxa"/>
            <w:tcBorders>
              <w:top w:val="single" w:sz="4" w:space="0" w:color="000000"/>
              <w:start w:val="single" w:sz="4" w:space="0" w:color="000000"/>
              <w:bottom w:val="single" w:sz="4" w:space="0" w:color="000000"/>
              <w:end w:val="single" w:sz="4" w:space="0" w:color="000000"/>
            </w:tcBorders>
            <w:vAlign w:val="center"/>
          </w:tcPr>
          <w:p>
            <w:pPr>
              <w:pStyle w:val="Heading6"/>
              <w:widowControl/>
              <w:snapToGrid w:val="false"/>
              <w:spacing w:before="225" w:after="75"/>
              <w:ind w:hanging="0" w:start="0"/>
              <w:jc w:val="center"/>
              <w:rPr>
                <w:rFonts w:cs="微软雅黑" w:hint="eastAsia"/>
                <w:b w:val="false"/>
                <w:color w:val="000000"/>
                <w:sz w:val="21"/>
                <w:szCs w:val="21"/>
                <w:lang w:bidi="ar"/>
              </w:rPr>
            </w:pPr>
            <w:r>
              <w:rPr>
                <w:rFonts w:cs="微软雅黑" w:hint="eastAsia"/>
                <w:b w:val="false"/>
                <w:color w:val="000000"/>
                <w:sz w:val="21"/>
                <w:szCs w:val="21"/>
                <w:lang w:bidi="ar"/>
              </w:rPr>
            </w:r>
          </w:p>
        </w:tc>
        <w:tc>
          <w:tcPr>
            <w:tcW w:w="2585" w:type="dxa"/>
            <w:tcBorders>
              <w:top w:val="single" w:sz="4" w:space="0" w:color="000000"/>
              <w:start w:val="single" w:sz="4" w:space="0" w:color="000000"/>
              <w:bottom w:val="single" w:sz="4" w:space="0" w:color="000000"/>
              <w:end w:val="single" w:sz="4" w:space="0" w:color="000000"/>
            </w:tcBorders>
            <w:vAlign w:val="center"/>
          </w:tcPr>
          <w:p>
            <w:pPr>
              <w:pStyle w:val="Heading6"/>
              <w:widowControl/>
              <w:snapToGrid w:val="false"/>
              <w:spacing w:before="225" w:after="75"/>
              <w:ind w:hanging="0" w:start="0"/>
              <w:jc w:val="center"/>
              <w:rPr>
                <w:rFonts w:cs="微软雅黑" w:hint="eastAsia"/>
                <w:b w:val="false"/>
                <w:color w:val="000000"/>
                <w:sz w:val="21"/>
                <w:szCs w:val="21"/>
                <w:lang w:bidi="ar"/>
              </w:rPr>
            </w:pPr>
            <w:r>
              <w:rPr>
                <w:rFonts w:cs="微软雅黑" w:hint="eastAsia"/>
                <w:b w:val="false"/>
                <w:color w:val="000000"/>
                <w:sz w:val="21"/>
                <w:szCs w:val="21"/>
                <w:lang w:bidi="ar"/>
              </w:rPr>
            </w:r>
          </w:p>
        </w:tc>
      </w:tr>
    </w:tbl>
    <w:p>
      <w:pPr>
        <w:pStyle w:val="Style18"/>
        <w:spacing w:lineRule="exact" w:line="500" w:before="100" w:after="100"/>
        <w:ind w:firstLineChars="1300" w:startChars="0" w:start="0" w:endChars="0" w:end="0"/>
        <w:contextualSpacing/>
        <w:rPr>
          <w:rFonts w:hint="eastAsia"/>
          <w:sz w:val="21"/>
          <w:szCs w:val="21"/>
        </w:rPr>
      </w:pPr>
      <w:r>
        <w:rPr>
          <w:rFonts w:hint="eastAsia"/>
          <w:sz w:val="21"/>
          <w:szCs w:val="21"/>
        </w:rPr>
        <w:t>注：具体课程以实际教学为准。</w:t>
      </w:r>
    </w:p>
    <w:p>
      <w:pPr>
        <w:pStyle w:val="Style18"/>
        <w:spacing w:lineRule="exact" w:line="500" w:before="100" w:after="100"/>
        <w:ind w:firstLineChars="1300" w:startChars="0" w:start="0" w:endChars="0" w:end="0"/>
        <w:contextualSpacing/>
        <w:rPr>
          <w:rFonts w:hint="eastAsia"/>
          <w:sz w:val="21"/>
          <w:szCs w:val="21"/>
        </w:rPr>
      </w:pPr>
      <w:r>
        <w:rPr>
          <w:rFonts w:hint="eastAsia"/>
          <w:sz w:val="21"/>
          <w:szCs w:val="21"/>
        </w:rPr>
      </w:r>
    </w:p>
    <w:p>
      <w:pPr>
        <w:pStyle w:val="Style18"/>
        <w:spacing w:lineRule="exact" w:line="500" w:before="100" w:after="100"/>
        <w:contextualSpacing/>
        <w:rPr>
          <w:b/>
          <w:color w:val="C00000"/>
          <w:sz w:val="21"/>
          <w:szCs w:val="21"/>
        </w:rPr>
      </w:pPr>
      <w:r>
        <w:rPr>
          <w:rFonts w:hint="eastAsia"/>
          <w:b/>
          <w:color w:val="C00000"/>
          <w:sz w:val="21"/>
          <w:szCs w:val="21"/>
        </w:rPr>
        <w:t>三</w:t>
      </w:r>
      <w:r>
        <w:rPr>
          <w:b/>
          <w:color w:val="C00000"/>
          <w:sz w:val="21"/>
          <w:szCs w:val="21"/>
        </w:rPr>
        <w:t>、教学办法</w:t>
      </w:r>
    </w:p>
    <w:p>
      <w:pPr>
        <w:pStyle w:val="Style18"/>
        <w:spacing w:lineRule="exact" w:line="500" w:before="100" w:after="100"/>
        <w:contextualSpacing/>
        <w:rPr>
          <w:sz w:val="21"/>
          <w:szCs w:val="21"/>
        </w:rPr>
      </w:pPr>
      <w:r>
        <w:rPr>
          <w:sz w:val="21"/>
          <w:szCs w:val="21"/>
        </w:rPr>
        <w:t>　　</w:t>
      </w:r>
      <w:r>
        <w:rPr>
          <w:rFonts w:hint="eastAsia"/>
          <w:sz w:val="21"/>
          <w:szCs w:val="21"/>
        </w:rPr>
        <w:t>面授</w:t>
      </w:r>
      <w:r>
        <w:rPr>
          <w:rFonts w:hint="eastAsia"/>
          <w:sz w:val="21"/>
          <w:szCs w:val="21"/>
        </w:rPr>
        <w:t>(</w:t>
      </w:r>
      <w:r>
        <w:rPr>
          <w:rFonts w:hint="eastAsia"/>
          <w:sz w:val="21"/>
          <w:szCs w:val="21"/>
        </w:rPr>
        <w:t>线上</w:t>
      </w:r>
      <w:r>
        <w:rPr>
          <w:rFonts w:hint="eastAsia"/>
          <w:sz w:val="21"/>
          <w:szCs w:val="21"/>
        </w:rPr>
        <w:t>)</w:t>
      </w:r>
      <w:r>
        <w:rPr>
          <w:rFonts w:hint="eastAsia"/>
          <w:sz w:val="21"/>
          <w:szCs w:val="21"/>
        </w:rPr>
        <w:t>与自学相结合，每月选择</w:t>
      </w:r>
      <w:r>
        <w:rPr>
          <w:rFonts w:hint="eastAsia"/>
          <w:sz w:val="21"/>
          <w:szCs w:val="21"/>
        </w:rPr>
        <w:t>1-2</w:t>
      </w:r>
      <w:r>
        <w:rPr>
          <w:rFonts w:hint="eastAsia"/>
          <w:sz w:val="21"/>
          <w:szCs w:val="21"/>
        </w:rPr>
        <w:t>个周末上课</w:t>
      </w:r>
      <w:r>
        <w:rPr>
          <w:rFonts w:hint="eastAsia"/>
          <w:sz w:val="21"/>
          <w:szCs w:val="21"/>
        </w:rPr>
        <w:t>(</w:t>
      </w:r>
      <w:r>
        <w:rPr>
          <w:rFonts w:hint="eastAsia"/>
          <w:sz w:val="21"/>
          <w:szCs w:val="21"/>
        </w:rPr>
        <w:t>具体以学院最终排课为准</w:t>
      </w:r>
      <w:r>
        <w:rPr>
          <w:rFonts w:hint="eastAsia"/>
          <w:sz w:val="21"/>
          <w:szCs w:val="21"/>
        </w:rPr>
        <w:t>)</w:t>
      </w:r>
      <w:r>
        <w:rPr>
          <w:rFonts w:hint="eastAsia"/>
          <w:sz w:val="21"/>
          <w:szCs w:val="21"/>
        </w:rPr>
        <w:t>。</w:t>
      </w:r>
    </w:p>
    <w:p>
      <w:pPr>
        <w:pStyle w:val="Style18"/>
        <w:spacing w:lineRule="exact" w:line="500" w:before="100" w:after="100"/>
        <w:contextualSpacing/>
        <w:rPr>
          <w:rFonts w:hint="eastAsia"/>
          <w:b/>
          <w:color w:val="C00000"/>
          <w:sz w:val="21"/>
          <w:szCs w:val="21"/>
        </w:rPr>
      </w:pPr>
      <w:r>
        <w:rPr>
          <w:rFonts w:hint="eastAsia"/>
          <w:b/>
          <w:color w:val="C00000"/>
          <w:sz w:val="21"/>
          <w:szCs w:val="21"/>
        </w:rPr>
      </w:r>
    </w:p>
    <w:p>
      <w:pPr>
        <w:pStyle w:val="Style18"/>
        <w:spacing w:lineRule="exact" w:line="500" w:before="100" w:after="100"/>
        <w:contextualSpacing/>
        <w:rPr>
          <w:b/>
          <w:color w:val="C00000"/>
          <w:sz w:val="21"/>
          <w:szCs w:val="21"/>
        </w:rPr>
      </w:pPr>
      <w:r>
        <w:rPr>
          <w:rFonts w:hint="eastAsia"/>
          <w:b/>
          <w:color w:val="C00000"/>
          <w:sz w:val="21"/>
          <w:szCs w:val="21"/>
        </w:rPr>
        <w:t>四</w:t>
      </w:r>
      <w:r>
        <w:rPr>
          <w:b/>
          <w:color w:val="C00000"/>
          <w:sz w:val="21"/>
          <w:szCs w:val="21"/>
        </w:rPr>
        <w:t>、学习期限</w:t>
      </w:r>
    </w:p>
    <w:p>
      <w:pPr>
        <w:pStyle w:val="Style18"/>
        <w:spacing w:lineRule="exact" w:line="500" w:before="100" w:after="100"/>
        <w:contextualSpacing/>
        <w:rPr>
          <w:sz w:val="21"/>
          <w:szCs w:val="21"/>
        </w:rPr>
      </w:pPr>
      <w:r>
        <w:rPr>
          <w:sz w:val="21"/>
          <w:szCs w:val="21"/>
        </w:rPr>
        <w:t>　　学习时间：一年半。自开班之日起算。</w:t>
      </w:r>
    </w:p>
    <w:p>
      <w:pPr>
        <w:pStyle w:val="Style18"/>
        <w:spacing w:lineRule="exact" w:line="500" w:before="100" w:after="100"/>
        <w:contextualSpacing/>
        <w:rPr>
          <w:sz w:val="21"/>
          <w:szCs w:val="21"/>
        </w:rPr>
      </w:pPr>
      <w:r>
        <w:rPr>
          <w:sz w:val="21"/>
          <w:szCs w:val="21"/>
        </w:rPr>
      </w:r>
    </w:p>
    <w:p>
      <w:pPr>
        <w:pStyle w:val="Style18"/>
        <w:numPr>
          <w:ilvl w:val="0"/>
          <w:numId w:val="3"/>
        </w:numPr>
        <w:spacing w:lineRule="exact" w:line="500" w:before="100" w:after="280"/>
        <w:rPr>
          <w:b/>
          <w:color w:val="C00000"/>
          <w:sz w:val="21"/>
          <w:szCs w:val="21"/>
        </w:rPr>
      </w:pPr>
      <w:r>
        <w:rPr>
          <w:b/>
          <w:color w:val="C00000"/>
          <w:sz w:val="21"/>
          <w:szCs w:val="21"/>
        </w:rPr>
        <w:t>报名条件及报名手续</w:t>
      </w:r>
    </w:p>
    <w:p>
      <w:pPr>
        <w:pStyle w:val="Style18"/>
        <w:spacing w:lineRule="exact" w:line="500" w:before="100" w:after="100"/>
        <w:contextualSpacing/>
        <w:rPr>
          <w:sz w:val="21"/>
          <w:szCs w:val="21"/>
        </w:rPr>
      </w:pPr>
      <w:r>
        <w:rPr>
          <w:rFonts w:hint="eastAsia"/>
          <w:sz w:val="21"/>
          <w:szCs w:val="21"/>
        </w:rPr>
        <w:t>报名条件：</w:t>
      </w:r>
    </w:p>
    <w:p>
      <w:pPr>
        <w:pStyle w:val="Style18"/>
        <w:numPr>
          <w:ilvl w:val="0"/>
          <w:numId w:val="4"/>
        </w:numPr>
        <w:spacing w:lineRule="exact" w:line="500" w:before="100" w:after="0"/>
        <w:ind w:firstLineChars="0" w:firstLine="0" w:startChars="0" w:start="0" w:endChars="0" w:end="0"/>
        <w:rPr>
          <w:sz w:val="21"/>
          <w:szCs w:val="21"/>
        </w:rPr>
      </w:pPr>
      <w:r>
        <w:rPr>
          <w:sz w:val="21"/>
          <w:szCs w:val="21"/>
        </w:rPr>
        <w:t>大学本科毕业，并获得学士学位满二年；</w:t>
      </w:r>
    </w:p>
    <w:p>
      <w:pPr>
        <w:pStyle w:val="Style18"/>
        <w:numPr>
          <w:ilvl w:val="0"/>
          <w:numId w:val="4"/>
        </w:numPr>
        <w:spacing w:lineRule="exact" w:line="500" w:before="0" w:after="280"/>
        <w:ind w:firstLineChars="0" w:firstLine="0" w:startChars="0" w:start="0" w:endChars="0" w:end="0"/>
        <w:rPr>
          <w:sz w:val="21"/>
          <w:szCs w:val="21"/>
        </w:rPr>
      </w:pPr>
      <w:r>
        <w:rPr>
          <w:sz w:val="21"/>
          <w:szCs w:val="21"/>
        </w:rPr>
        <w:t>条件优秀者，可放宽至大专学历。</w:t>
      </w:r>
    </w:p>
    <w:p>
      <w:pPr>
        <w:pStyle w:val="Style18"/>
        <w:spacing w:lineRule="exact" w:line="500" w:before="100" w:after="100"/>
        <w:contextualSpacing/>
        <w:rPr>
          <w:sz w:val="21"/>
          <w:szCs w:val="21"/>
        </w:rPr>
      </w:pPr>
      <w:r>
        <w:rPr>
          <w:sz w:val="21"/>
          <w:szCs w:val="21"/>
        </w:rPr>
        <w:t>报名手续：</w:t>
      </w:r>
    </w:p>
    <w:p>
      <w:pPr>
        <w:pStyle w:val="Style18"/>
        <w:spacing w:lineRule="exact" w:line="500" w:before="100" w:after="100"/>
        <w:contextualSpacing/>
        <w:rPr>
          <w:rFonts w:hint="eastAsia"/>
          <w:sz w:val="21"/>
          <w:szCs w:val="21"/>
        </w:rPr>
      </w:pPr>
      <w:r>
        <w:rPr>
          <w:sz w:val="21"/>
          <w:szCs w:val="21"/>
        </w:rPr>
        <w:t>　　</w:t>
      </w:r>
      <w:r>
        <w:rPr>
          <w:rFonts w:hint="eastAsia"/>
          <w:sz w:val="21"/>
          <w:szCs w:val="21"/>
        </w:rPr>
        <w:t xml:space="preserve">   </w:t>
      </w:r>
      <w:r>
        <w:rPr>
          <w:rFonts w:hint="eastAsia"/>
          <w:sz w:val="21"/>
          <w:szCs w:val="21"/>
        </w:rPr>
        <w:t>1</w:t>
      </w:r>
      <w:r>
        <w:rPr>
          <w:rFonts w:hint="eastAsia"/>
          <w:sz w:val="21"/>
          <w:szCs w:val="21"/>
        </w:rPr>
        <w:t>、</w:t>
      </w:r>
      <w:r>
        <w:rPr>
          <w:sz w:val="21"/>
          <w:szCs w:val="21"/>
        </w:rPr>
        <w:t>填写在职课程培训班报名登记表</w:t>
      </w:r>
      <w:r>
        <w:rPr>
          <w:rFonts w:hint="eastAsia"/>
          <w:sz w:val="21"/>
          <w:szCs w:val="21"/>
        </w:rPr>
        <w:t>；</w:t>
      </w:r>
    </w:p>
    <w:p>
      <w:pPr>
        <w:pStyle w:val="Style18"/>
        <w:spacing w:lineRule="exact" w:line="500" w:before="100" w:after="100"/>
        <w:contextualSpacing/>
        <w:rPr>
          <w:rFonts w:hint="eastAsia"/>
          <w:sz w:val="21"/>
          <w:szCs w:val="21"/>
        </w:rPr>
      </w:pPr>
      <w:r>
        <w:rPr>
          <w:sz w:val="21"/>
          <w:szCs w:val="21"/>
        </w:rPr>
        <w:t>　　</w:t>
      </w:r>
      <w:r>
        <w:rPr>
          <w:rFonts w:hint="eastAsia"/>
          <w:sz w:val="21"/>
          <w:szCs w:val="21"/>
        </w:rPr>
        <w:t xml:space="preserve">   </w:t>
      </w:r>
      <w:r>
        <w:rPr>
          <w:rFonts w:hint="eastAsia"/>
          <w:sz w:val="21"/>
          <w:szCs w:val="21"/>
        </w:rPr>
        <w:t>2</w:t>
      </w:r>
      <w:r>
        <w:rPr>
          <w:rFonts w:hint="eastAsia"/>
          <w:sz w:val="21"/>
          <w:szCs w:val="21"/>
        </w:rPr>
        <w:t>、</w:t>
      </w:r>
      <w:r>
        <w:rPr>
          <w:sz w:val="21"/>
          <w:szCs w:val="21"/>
        </w:rPr>
        <w:t>提交学历学位证书原件和复印件</w:t>
      </w:r>
      <w:r>
        <w:rPr>
          <w:rFonts w:hint="eastAsia"/>
          <w:sz w:val="21"/>
          <w:szCs w:val="21"/>
        </w:rPr>
        <w:t>各</w:t>
      </w:r>
      <w:r>
        <w:rPr>
          <w:rFonts w:hint="eastAsia"/>
          <w:sz w:val="21"/>
          <w:szCs w:val="21"/>
        </w:rPr>
        <w:t>1</w:t>
      </w:r>
      <w:r>
        <w:rPr>
          <w:rFonts w:hint="eastAsia"/>
          <w:sz w:val="21"/>
          <w:szCs w:val="21"/>
        </w:rPr>
        <w:t>份；</w:t>
      </w:r>
    </w:p>
    <w:p>
      <w:pPr>
        <w:pStyle w:val="Style18"/>
        <w:spacing w:lineRule="exact" w:line="500" w:before="100" w:after="100"/>
        <w:contextualSpacing/>
        <w:rPr>
          <w:rFonts w:hint="eastAsia"/>
          <w:sz w:val="21"/>
          <w:szCs w:val="21"/>
        </w:rPr>
      </w:pPr>
      <w:r>
        <w:rPr>
          <w:rFonts w:hint="eastAsia"/>
          <w:sz w:val="21"/>
          <w:szCs w:val="21"/>
        </w:rPr>
        <w:t xml:space="preserve">       </w:t>
      </w:r>
      <w:r>
        <w:rPr>
          <w:rFonts w:hint="eastAsia"/>
          <w:sz w:val="21"/>
          <w:szCs w:val="21"/>
        </w:rPr>
        <w:t>3</w:t>
      </w:r>
      <w:r>
        <w:rPr>
          <w:rFonts w:hint="eastAsia"/>
          <w:sz w:val="21"/>
          <w:szCs w:val="21"/>
        </w:rPr>
        <w:t>、</w:t>
      </w:r>
      <w:r>
        <w:rPr>
          <w:sz w:val="21"/>
          <w:szCs w:val="21"/>
        </w:rPr>
        <w:t>身份证复印件</w:t>
      </w:r>
      <w:r>
        <w:rPr>
          <w:rFonts w:hint="eastAsia"/>
          <w:sz w:val="21"/>
          <w:szCs w:val="21"/>
        </w:rPr>
        <w:t>1</w:t>
      </w:r>
      <w:r>
        <w:rPr>
          <w:rFonts w:hint="eastAsia"/>
          <w:sz w:val="21"/>
          <w:szCs w:val="21"/>
        </w:rPr>
        <w:t>份；</w:t>
      </w:r>
    </w:p>
    <w:p>
      <w:pPr>
        <w:pStyle w:val="Style18"/>
        <w:spacing w:lineRule="exact" w:line="500" w:before="100" w:after="100"/>
        <w:contextualSpacing/>
        <w:rPr>
          <w:rFonts w:eastAsia="宋体" w:hint="eastAsia"/>
          <w:sz w:val="21"/>
          <w:szCs w:val="21"/>
        </w:rPr>
      </w:pPr>
      <w:r>
        <w:rPr>
          <w:rFonts w:hint="eastAsia"/>
          <w:sz w:val="21"/>
          <w:szCs w:val="21"/>
        </w:rPr>
        <w:t xml:space="preserve">       </w:t>
      </w:r>
      <w:r>
        <w:rPr>
          <w:rFonts w:hint="eastAsia"/>
          <w:sz w:val="21"/>
          <w:szCs w:val="21"/>
        </w:rPr>
        <w:t>4</w:t>
      </w:r>
      <w:r>
        <w:rPr>
          <w:rFonts w:hint="eastAsia"/>
          <w:sz w:val="21"/>
          <w:szCs w:val="21"/>
        </w:rPr>
        <w:t>、</w:t>
      </w:r>
      <w:r>
        <w:rPr>
          <w:sz w:val="21"/>
          <w:szCs w:val="21"/>
        </w:rPr>
        <w:t>两寸白底证件照四张</w:t>
      </w:r>
      <w:r>
        <w:rPr>
          <w:rFonts w:hint="eastAsia"/>
          <w:sz w:val="21"/>
          <w:szCs w:val="21"/>
        </w:rPr>
        <w:t>。</w:t>
      </w:r>
    </w:p>
    <w:p>
      <w:pPr>
        <w:pStyle w:val="Style18"/>
        <w:spacing w:lineRule="exact" w:line="500" w:before="100" w:after="100"/>
        <w:contextualSpacing/>
        <w:rPr>
          <w:sz w:val="21"/>
          <w:szCs w:val="21"/>
        </w:rPr>
      </w:pPr>
      <w:r>
        <w:rPr>
          <w:rFonts w:eastAsia="宋体"/>
          <w:sz w:val="21"/>
          <w:szCs w:val="21"/>
        </w:rPr>
      </w:r>
    </w:p>
    <w:p>
      <w:pPr>
        <w:pStyle w:val="Style18"/>
        <w:spacing w:lineRule="exact" w:line="500" w:before="100" w:after="100"/>
        <w:contextualSpacing/>
        <w:rPr>
          <w:sz w:val="21"/>
          <w:szCs w:val="21"/>
        </w:rPr>
      </w:pPr>
      <w:r>
        <w:rPr>
          <w:rFonts w:hint="eastAsia"/>
          <w:b/>
          <w:color w:val="C00000"/>
          <w:sz w:val="21"/>
          <w:szCs w:val="21"/>
        </w:rPr>
        <w:t>六</w:t>
      </w:r>
      <w:r>
        <w:rPr>
          <w:b/>
          <w:color w:val="C00000"/>
          <w:sz w:val="21"/>
          <w:szCs w:val="21"/>
        </w:rPr>
        <w:t>、收费标准</w:t>
      </w:r>
    </w:p>
    <w:p>
      <w:pPr>
        <w:pStyle w:val="Style18"/>
        <w:spacing w:lineRule="exact" w:line="500" w:before="100" w:after="100"/>
        <w:contextualSpacing/>
        <w:rPr>
          <w:sz w:val="21"/>
          <w:szCs w:val="21"/>
        </w:rPr>
      </w:pPr>
      <w:r>
        <w:rPr>
          <w:sz w:val="21"/>
          <w:szCs w:val="21"/>
        </w:rPr>
        <w:t>　　在职课程培训班费用</w:t>
      </w:r>
      <w:r>
        <w:rPr>
          <w:rFonts w:hint="eastAsia"/>
          <w:sz w:val="21"/>
          <w:szCs w:val="21"/>
        </w:rPr>
        <w:t>4680</w:t>
      </w:r>
      <w:r>
        <w:rPr>
          <w:sz w:val="21"/>
          <w:szCs w:val="21"/>
        </w:rPr>
        <w:t>0</w:t>
      </w:r>
      <w:r>
        <w:rPr>
          <w:sz w:val="21"/>
          <w:szCs w:val="21"/>
        </w:rPr>
        <w:t>元。</w:t>
      </w:r>
      <w:r>
        <w:rPr>
          <w:sz w:val="21"/>
          <w:szCs w:val="21"/>
        </w:rPr>
        <w:t>(</w:t>
      </w:r>
      <w:r>
        <w:rPr>
          <w:sz w:val="21"/>
          <w:szCs w:val="21"/>
        </w:rPr>
        <w:t>不含教材费</w:t>
      </w:r>
      <w:r>
        <w:rPr>
          <w:sz w:val="21"/>
          <w:szCs w:val="21"/>
        </w:rPr>
        <w:t>)</w:t>
      </w:r>
    </w:p>
    <w:p>
      <w:pPr>
        <w:pStyle w:val="Style18"/>
        <w:spacing w:lineRule="exact" w:line="500" w:before="100" w:after="100"/>
        <w:contextualSpacing/>
        <w:rPr>
          <w:sz w:val="21"/>
          <w:szCs w:val="21"/>
        </w:rPr>
      </w:pPr>
      <w:r>
        <w:rPr>
          <w:sz w:val="21"/>
          <w:szCs w:val="21"/>
        </w:rPr>
      </w:r>
    </w:p>
    <w:p>
      <w:pPr>
        <w:pStyle w:val="Style18"/>
        <w:spacing w:lineRule="exact" w:line="500" w:before="100" w:after="100"/>
        <w:contextualSpacing/>
        <w:rPr>
          <w:b/>
          <w:color w:val="C00000"/>
          <w:sz w:val="21"/>
          <w:szCs w:val="21"/>
        </w:rPr>
      </w:pPr>
      <w:r>
        <w:rPr>
          <w:rFonts w:hint="eastAsia"/>
          <w:b/>
          <w:color w:val="C00000"/>
          <w:sz w:val="21"/>
          <w:szCs w:val="21"/>
        </w:rPr>
        <w:t>七</w:t>
      </w:r>
      <w:r>
        <w:rPr>
          <w:b/>
          <w:color w:val="C00000"/>
          <w:sz w:val="21"/>
          <w:szCs w:val="21"/>
        </w:rPr>
        <w:t>、缴费方式</w:t>
      </w:r>
    </w:p>
    <w:p>
      <w:pPr>
        <w:pStyle w:val="Style18"/>
        <w:spacing w:lineRule="exact" w:line="500" w:before="100" w:after="100"/>
        <w:contextualSpacing/>
        <w:rPr>
          <w:sz w:val="21"/>
          <w:szCs w:val="21"/>
        </w:rPr>
      </w:pPr>
      <w:r>
        <w:rPr>
          <w:sz w:val="21"/>
          <w:szCs w:val="21"/>
        </w:rPr>
        <w:t>　　个人账户缴费：点击“</w:t>
      </w:r>
      <w:r>
        <w:rPr>
          <w:rFonts w:hint="eastAsia"/>
          <w:sz w:val="21"/>
          <w:szCs w:val="21"/>
        </w:rPr>
        <w:t>中国人民大学终身学习服务平台</w:t>
      </w:r>
      <w:r>
        <w:rPr>
          <w:sz w:val="21"/>
          <w:szCs w:val="21"/>
        </w:rPr>
        <w:t>”发布简章的缴费链接，通过学校电子收费系统缴费。</w:t>
      </w:r>
    </w:p>
    <w:p>
      <w:pPr>
        <w:pStyle w:val="Style18"/>
        <w:spacing w:lineRule="exact" w:line="500" w:before="100" w:after="100"/>
        <w:contextualSpacing/>
        <w:rPr>
          <w:sz w:val="21"/>
          <w:szCs w:val="21"/>
        </w:rPr>
      </w:pPr>
      <w:r>
        <w:rPr>
          <w:sz w:val="21"/>
          <w:szCs w:val="21"/>
        </w:rPr>
        <w:t>　</w:t>
      </w:r>
    </w:p>
    <w:p>
      <w:pPr>
        <w:pStyle w:val="Style18"/>
        <w:spacing w:lineRule="exact" w:line="500" w:before="100" w:after="100"/>
        <w:contextualSpacing/>
        <w:rPr>
          <w:b/>
          <w:color w:val="C00000"/>
          <w:sz w:val="21"/>
          <w:szCs w:val="21"/>
        </w:rPr>
      </w:pPr>
      <w:r>
        <w:rPr>
          <w:rFonts w:hint="eastAsia"/>
          <w:b/>
          <w:color w:val="C00000"/>
          <w:sz w:val="21"/>
          <w:szCs w:val="21"/>
        </w:rPr>
        <w:t>八</w:t>
      </w:r>
      <w:r>
        <w:rPr>
          <w:b/>
          <w:color w:val="C00000"/>
          <w:sz w:val="21"/>
          <w:szCs w:val="21"/>
        </w:rPr>
        <w:t>、获取证书</w:t>
      </w:r>
    </w:p>
    <w:p>
      <w:pPr>
        <w:pStyle w:val="Style18"/>
        <w:spacing w:lineRule="exact" w:line="500" w:before="100" w:after="100"/>
        <w:ind w:firstLine="420" w:end="0"/>
        <w:contextualSpacing/>
        <w:rPr>
          <w:rFonts w:hint="eastAsia"/>
          <w:sz w:val="21"/>
          <w:szCs w:val="21"/>
        </w:rPr>
      </w:pPr>
      <w:r>
        <w:rPr>
          <w:sz w:val="21"/>
          <w:szCs w:val="21"/>
        </w:rPr>
        <w:t>学员在规定期限内完成在职课程培训班的学习项目，通过规定的课程考试，由中国人民大学继续教育处颁发在职课程培训班结业证书。</w:t>
      </w:r>
    </w:p>
    <w:p>
      <w:pPr>
        <w:pStyle w:val="Style18"/>
        <w:spacing w:lineRule="exact" w:line="500" w:before="100" w:after="100"/>
        <w:ind w:firstLine="420" w:end="0"/>
        <w:contextualSpacing/>
        <w:rPr>
          <w:rFonts w:hint="eastAsia"/>
          <w:sz w:val="21"/>
          <w:szCs w:val="21"/>
        </w:rPr>
      </w:pPr>
      <w:r>
        <w:rPr>
          <w:rFonts w:hint="eastAsia"/>
          <w:sz w:val="21"/>
          <w:szCs w:val="21"/>
        </w:rPr>
      </w:r>
    </w:p>
    <w:p>
      <w:pPr>
        <w:pStyle w:val="Style18"/>
        <w:spacing w:lineRule="exact" w:line="500" w:before="100" w:after="100"/>
        <w:ind w:firstLine="420" w:end="0"/>
        <w:contextualSpacing/>
        <w:rPr>
          <w:rFonts w:hint="eastAsia"/>
          <w:sz w:val="21"/>
          <w:szCs w:val="21"/>
        </w:rPr>
      </w:pPr>
      <w:r>
        <w:rPr>
          <w:rFonts w:hint="eastAsia"/>
          <w:sz w:val="21"/>
          <w:szCs w:val="21"/>
        </w:rPr>
      </w:r>
    </w:p>
    <w:sectPr>
      <w:headerReference w:type="default" r:id="rId3"/>
      <w:type w:val="nextPage"/>
      <w:pgSz w:w="11906" w:h="16838"/>
      <w:pgMar w:left="1800" w:right="1800" w:gutter="0" w:header="851" w:top="1440" w:footer="0" w:bottom="144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86"/>
    <w:family w:val="roman"/>
    <w:pitch w:val="variable"/>
  </w:font>
  <w:font w:name="Times New Roman">
    <w:charset w:val="00" w:characterSet="windows-1252"/>
    <w:family w:val="roman"/>
    <w:pitch w:val="default"/>
  </w:font>
  <w:font w:name="宋体">
    <w:charset w:val="86"/>
    <w:family w:val="auto"/>
    <w:pitch w:val="default"/>
  </w:font>
  <w:font w:name="Liberation Sans">
    <w:altName w:val="Arial"/>
    <w:charset w:val="86"/>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lang w:val="zh-CN" w:eastAsia="zh-CN"/>
      </w:rPr>
      <w:drawing>
        <wp:anchor distT="0" distB="0" distL="114935" distR="114935" simplePos="0" relativeHeight="4" behindDoc="1" locked="0" layoutInCell="0" allowOverlap="1">
          <wp:simplePos x="0" y="0"/>
          <wp:positionH relativeFrom="margin">
            <wp:align>center</wp:align>
          </wp:positionH>
          <wp:positionV relativeFrom="margin">
            <wp:align>center</wp:align>
          </wp:positionV>
          <wp:extent cx="4472305" cy="4507865"/>
          <wp:effectExtent l="0" t="0" r="0" b="0"/>
          <wp:wrapNone/>
          <wp:docPr id="3" name="WordPictureWatermark1058209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58209720"/>
                  <pic:cNvPicPr>
                    <a:picLocks noChangeAspect="1" noChangeArrowheads="1"/>
                  </pic:cNvPicPr>
                </pic:nvPicPr>
                <pic:blipFill>
                  <a:blip r:embed="rId1">
                    <a:lum bright="70000" contrast="-70000"/>
                  </a:blip>
                  <a:srcRect l="-6" t="-6" r="-6" b="-6"/>
                  <a:stretch>
                    <a:fillRect/>
                  </a:stretch>
                </pic:blipFill>
                <pic:spPr bwMode="auto">
                  <a:xfrm>
                    <a:off x="0" y="0"/>
                    <a:ext cx="4472305" cy="4507865"/>
                  </a:xfrm>
                  <a:prstGeom prst="rect">
                    <a:avLst/>
                  </a:prstGeom>
                  <a:noFill/>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pStyle w:val="Heading6"/>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2"/>
      <w:numFmt w:val="chineseCountingThousand"/>
      <w:suff w:val="nothing"/>
      <w:lvlText w:val="%1、"/>
      <w:lvlJc w:val="start"/>
      <w:pPr>
        <w:tabs>
          <w:tab w:val="num" w:pos="0"/>
        </w:tabs>
        <w:ind w:start="0" w:hanging="0"/>
      </w:pPr>
      <w:rPr>
        <w:rFonts w:hint="eastAsia"/>
      </w:rPr>
    </w:lvl>
  </w:abstractNum>
  <w:abstractNum w:abstractNumId="3">
    <w:lvl w:ilvl="0">
      <w:start w:val="5"/>
      <w:numFmt w:val="chineseCountingThousand"/>
      <w:suff w:val="nothing"/>
      <w:lvlText w:val="%1、"/>
      <w:lvlJc w:val="start"/>
      <w:pPr>
        <w:tabs>
          <w:tab w:val="num" w:pos="0"/>
        </w:tabs>
        <w:ind w:start="0" w:hanging="0"/>
      </w:pPr>
      <w:rPr>
        <w:rFonts w:hint="eastAsia"/>
      </w:rPr>
    </w:lvl>
  </w:abstractNum>
  <w:abstractNum w:abstractNumId="4">
    <w:lvl w:ilvl="0">
      <w:start w:val="1"/>
      <w:numFmt w:val="decimal"/>
      <w:suff w:val="nothing"/>
      <w:lvlText w:val="%1、"/>
      <w:lvlJc w:val="start"/>
      <w:pPr>
        <w:tabs>
          <w:tab w:val="num" w:pos="0"/>
        </w:tabs>
        <w:ind w:start="21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420"/>
  <w:autoHyphenation w:val="true"/>
  <w:hyphenationZone w:val="0"/>
  <w:compat>
    <w:doNotExpandShiftReturn/>
    <w:adjustLineHeightInTable/>
    <w:compatSetting w:name="compatibilityMode" w:uri="http://schemas.microsoft.com/office/word" w:val="11"/>
  </w:compat>
  <w:docVars>
    <w:docVar w:name="commondata" w:val="eyJoZGlkIjoiMjJkYmYyOGQwNjU2YTFjYjBlYWQzZDdlZjc2Nzk1ZWYifQ=="/>
  </w:docVars>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新宋体" w:cs="Lucida Sans"/>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2"/>
      <w:lang w:bidi="ar-SA" w:val="en-US" w:eastAsia="zh-CN"/>
    </w:rPr>
  </w:style>
  <w:style w:type="paragraph" w:styleId="Heading6">
    <w:name w:val="heading 6"/>
    <w:basedOn w:val="Normal"/>
    <w:next w:val="Normal"/>
    <w:qFormat/>
    <w:pPr>
      <w:numPr>
        <w:ilvl w:val="5"/>
        <w:numId w:val="1"/>
      </w:numPr>
      <w:spacing w:before="100" w:after="100"/>
      <w:jc w:val="start"/>
      <w:outlineLvl w:val="5"/>
    </w:pPr>
    <w:rPr>
      <w:rFonts w:ascii="宋体" w:hAnsi="宋体" w:cs="宋体"/>
      <w:b/>
      <w:kern w:val="0"/>
      <w:sz w:val="15"/>
      <w:szCs w:val="15"/>
    </w:rPr>
  </w:style>
  <w:style w:type="character" w:styleId="WW8Num1z0">
    <w:name w:val="WW8Num1z0"/>
    <w:qFormat/>
    <w:rPr>
      <w:rFonts w:hint="eastAsia"/>
    </w:rPr>
  </w:style>
  <w:style w:type="character" w:styleId="WW8Num2z0">
    <w:name w:val="WW8Num2z0"/>
    <w:qFormat/>
    <w:rPr>
      <w:rFonts w:hint="eastAsia"/>
    </w:rPr>
  </w:style>
  <w:style w:type="character" w:styleId="Style13">
    <w:name w:val="默认段落字体"/>
    <w:qFormat/>
    <w:rPr/>
  </w:style>
  <w:style w:type="character" w:styleId="6Char">
    <w:name w:val="标题 6 Char"/>
    <w:qFormat/>
    <w:rPr>
      <w:rFonts w:ascii="宋体" w:hAnsi="宋体" w:cs="宋体"/>
      <w:b/>
      <w:sz w:val="15"/>
      <w:szCs w:val="15"/>
    </w:rPr>
  </w:style>
  <w:style w:type="character" w:styleId="Char">
    <w:name w:val="批注框文本 Char"/>
    <w:qFormat/>
    <w:rPr>
      <w:sz w:val="18"/>
      <w:szCs w:val="18"/>
    </w:rPr>
  </w:style>
  <w:style w:type="character" w:styleId="Char1">
    <w:name w:val="页脚 Char"/>
    <w:qFormat/>
    <w:rPr>
      <w:sz w:val="18"/>
      <w:szCs w:val="18"/>
    </w:rPr>
  </w:style>
  <w:style w:type="character" w:styleId="Char2">
    <w:name w:val="页眉 Char"/>
    <w:qFormat/>
    <w:rPr>
      <w:sz w:val="18"/>
      <w:szCs w:val="18"/>
    </w:rPr>
  </w:style>
  <w:style w:type="character" w:styleId="Hyperlink">
    <w:name w:val="Hyperlink"/>
    <w:rPr>
      <w:color w:val="0563C1"/>
      <w:u w:val="single"/>
    </w:rPr>
  </w:style>
  <w:style w:type="paragraph" w:styleId="Style14">
    <w:name w:val="标题样式"/>
    <w:basedOn w:val="Normal"/>
    <w:next w:val="BodyText"/>
    <w:qFormat/>
    <w:pPr>
      <w:keepNext w:val="true"/>
      <w:spacing w:before="240" w:after="120"/>
    </w:pPr>
    <w:rPr>
      <w:rFonts w:ascii="Liberation Sans" w:hAnsi="Liberation Sans" w:eastAsia="Noto Sans SC"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15">
    <w:name w:val="索引"/>
    <w:basedOn w:val="Normal"/>
    <w:qFormat/>
    <w:pPr>
      <w:suppressLineNumbers/>
    </w:pPr>
    <w:rPr>
      <w:rFonts w:cs="Lucida Sans"/>
    </w:rPr>
  </w:style>
  <w:style w:type="paragraph" w:styleId="Style16">
    <w:name w:val="批注框文本"/>
    <w:basedOn w:val="Normal"/>
    <w:qFormat/>
    <w:pPr/>
    <w:rPr>
      <w:kern w:val="0"/>
      <w:sz w:val="18"/>
      <w:szCs w:val="18"/>
    </w:rPr>
  </w:style>
  <w:style w:type="paragraph" w:styleId="Style17">
    <w:name w:val="页眉与页脚"/>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kern w:val="0"/>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kern w:val="0"/>
      <w:sz w:val="18"/>
      <w:szCs w:val="18"/>
    </w:rPr>
  </w:style>
  <w:style w:type="paragraph" w:styleId="Style18">
    <w:name w:val="普通(网站)"/>
    <w:basedOn w:val="Normal"/>
    <w:qFormat/>
    <w:pPr>
      <w:widowControl/>
      <w:spacing w:before="100" w:after="100"/>
      <w:jc w:val="start"/>
    </w:pPr>
    <w:rPr>
      <w:rFonts w:ascii="宋体" w:hAnsi="宋体" w:eastAsia="宋体" w:cs="宋体"/>
      <w:kern w:val="0"/>
      <w:sz w:val="24"/>
      <w:szCs w:val="24"/>
    </w:rPr>
  </w:style>
  <w:style w:type="paragraph" w:styleId="Style19">
    <w:name w:val="表格内容"/>
    <w:basedOn w:val="Normal"/>
    <w:qFormat/>
    <w:pPr>
      <w:widowControl w:val="false"/>
      <w:suppressLineNumbers/>
    </w:pPr>
    <w:rPr/>
  </w:style>
  <w:style w:type="paragraph" w:styleId="Style20">
    <w:name w:val="表格标题"/>
    <w:basedOn w:val="Style19"/>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12960</TotalTime>
  <Application>LibreOffice/26.2.5.2$Windows_X86_64 LibreOffice_project/cd7284b4cbbfeb507e630c1aac019f4157393acb</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2021-01-23T14:22:00Z</dcterms:created>
  <dc:creator>Administrator</dc:creator>
  <dc:description/>
  <dc:language>zh-CN</dc:language>
  <cp:lastModifiedBy>Administrator</cp:lastModifiedBy>
  <dcterms:modified xsi:type="dcterms:W3CDTF">2026-01-13T17:44:13Z</dcterms:modified>
  <cp:revision>83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EF7D15CF27D84CA7937CF34AC339815A_13</vt:lpwstr>
  </property>
  <property fmtid="{D5CDD505-2E9C-101B-9397-08002B2CF9AE}" pid="3" name="KSOProductBuildVer">
    <vt:lpwstr>2052-12.1.0.19302</vt:lpwstr>
  </property>
  <property fmtid="{D5CDD505-2E9C-101B-9397-08002B2CF9AE}" pid="4" name="KSOTemplateDocerSaveRecord">
    <vt:lpwstr>eyJoZGlkIjoiMjJkYmYyOGQwNjU2YTFjYjBlYWQzZDdlZjc2Nzk1ZWYifQ==</vt:lpwstr>
  </property>
  <property fmtid="{D5CDD505-2E9C-101B-9397-08002B2CF9AE}" pid="5" name="commondata">
    <vt:lpwstr>eyJoZGlkIjoiNGQ5ODQ5N2Q1NmI0ZDAwYTJiMTcyMmU3ZjhhMWE4NmEifQ==</vt:lpwstr>
  </property>
</Properties>
</file>