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公共管理学院</w:t>
      </w:r>
      <w:r>
        <w:rPr>
          <w:b/>
          <w:sz w:val="30"/>
          <w:szCs w:val="30"/>
        </w:rPr>
        <w:t>城乡发展与规划专业在职</w:t>
      </w:r>
      <w:r>
        <w:rPr>
          <w:rFonts w:hint="eastAsia"/>
          <w:b/>
          <w:sz w:val="30"/>
          <w:szCs w:val="30"/>
        </w:rPr>
        <w:t xml:space="preserve"> </w:t>
      </w:r>
      <w:r>
        <w:rPr>
          <w:b/>
          <w:sz w:val="30"/>
          <w:szCs w:val="30"/>
        </w:rPr>
        <w:t>课程培训班</w:t>
      </w: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管理</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公共管理</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ind w:firstLineChars="200" w:startChars="0" w:start="0" w:endChars="0" w:end="0"/>
        <w:contextualSpacing/>
        <w:jc w:val="both"/>
        <w:rPr>
          <w:sz w:val="21"/>
          <w:szCs w:val="21"/>
        </w:rPr>
      </w:pPr>
      <w:r>
        <w:rPr>
          <w:sz w:val="21"/>
          <w:szCs w:val="21"/>
        </w:rPr>
        <w:t>中国人民大学公共管理学院组建于</w:t>
      </w:r>
      <w:r>
        <w:rPr>
          <w:sz w:val="21"/>
          <w:szCs w:val="21"/>
        </w:rPr>
        <w:t>2001</w:t>
      </w:r>
      <w:r>
        <w:rPr>
          <w:sz w:val="21"/>
          <w:szCs w:val="21"/>
        </w:rPr>
        <w:t>年</w:t>
      </w:r>
      <w:r>
        <w:rPr>
          <w:sz w:val="21"/>
          <w:szCs w:val="21"/>
        </w:rPr>
        <w:t>6</w:t>
      </w:r>
      <w:r>
        <w:rPr>
          <w:sz w:val="21"/>
          <w:szCs w:val="21"/>
        </w:rPr>
        <w:t>月，以“中国特色、世界一流”为发展目标，将“培养创新人才、发展原创理论、引领学科建设、服务国家战略、深化国际合作”作为基本定位，培育“理论扎实、方法科学、求是为公、本土关怀、国际视野”的杰出公共管理人才。学院现有</w:t>
      </w:r>
      <w:r>
        <w:rPr>
          <w:sz w:val="21"/>
          <w:szCs w:val="21"/>
        </w:rPr>
        <w:t>9</w:t>
      </w:r>
      <w:r>
        <w:rPr>
          <w:sz w:val="21"/>
          <w:szCs w:val="21"/>
        </w:rPr>
        <w:t>个博士学位点、</w:t>
      </w:r>
      <w:r>
        <w:rPr>
          <w:sz w:val="21"/>
          <w:szCs w:val="21"/>
        </w:rPr>
        <w:t>10</w:t>
      </w:r>
      <w:r>
        <w:rPr>
          <w:sz w:val="21"/>
          <w:szCs w:val="21"/>
        </w:rPr>
        <w:t>个学术型硕士学位点、</w:t>
      </w:r>
      <w:r>
        <w:rPr>
          <w:sz w:val="21"/>
          <w:szCs w:val="21"/>
        </w:rPr>
        <w:t>2</w:t>
      </w:r>
      <w:r>
        <w:rPr>
          <w:sz w:val="21"/>
          <w:szCs w:val="21"/>
        </w:rPr>
        <w:t>个公共管理专业学位硕士点（包括公共管理硕士</w:t>
      </w:r>
      <w:r>
        <w:rPr>
          <w:sz w:val="21"/>
          <w:szCs w:val="21"/>
        </w:rPr>
        <w:t>MPA</w:t>
      </w:r>
      <w:r>
        <w:rPr>
          <w:sz w:val="21"/>
          <w:szCs w:val="21"/>
        </w:rPr>
        <w:t xml:space="preserve">和国际公共管理硕士 </w:t>
      </w:r>
      <w:r>
        <w:rPr>
          <w:sz w:val="21"/>
          <w:szCs w:val="21"/>
        </w:rPr>
        <w:t>IMPA</w:t>
      </w:r>
      <w:r>
        <w:rPr>
          <w:sz w:val="21"/>
          <w:szCs w:val="21"/>
        </w:rPr>
        <w:t>）、</w:t>
      </w:r>
      <w:r>
        <w:rPr>
          <w:sz w:val="21"/>
          <w:szCs w:val="21"/>
        </w:rPr>
        <w:t>3</w:t>
      </w:r>
      <w:r>
        <w:rPr>
          <w:sz w:val="21"/>
          <w:szCs w:val="21"/>
        </w:rPr>
        <w:t>个国家级一流本科专业（行政管理、土地资源管理、城市管理）；设有公共管理博士后流动站；拥有国土规划与国家治理研究院</w:t>
      </w:r>
      <w:r>
        <w:rPr>
          <w:sz w:val="21"/>
          <w:szCs w:val="21"/>
        </w:rPr>
        <w:t>1</w:t>
      </w:r>
      <w:r>
        <w:rPr>
          <w:sz w:val="21"/>
          <w:szCs w:val="21"/>
        </w:rPr>
        <w:t>个创新高地，拥有应急管理团队、国土空间数字治理智能仿真团队、公共健康与卫生疾控文理交叉平台、健康科学医院改革与医疗大数据文理交叉平台</w:t>
      </w:r>
      <w:r>
        <w:rPr>
          <w:sz w:val="21"/>
          <w:szCs w:val="21"/>
        </w:rPr>
        <w:t>4</w:t>
      </w:r>
      <w:r>
        <w:rPr>
          <w:sz w:val="21"/>
          <w:szCs w:val="21"/>
        </w:rPr>
        <w:t>个跨学科交叉平台。</w:t>
      </w:r>
      <w:r>
        <w:rPr>
          <w:sz w:val="21"/>
          <w:szCs w:val="21"/>
        </w:rPr>
        <w:t>2019</w:t>
      </w:r>
      <w:r>
        <w:rPr>
          <w:sz w:val="21"/>
          <w:szCs w:val="21"/>
        </w:rPr>
        <w:t>年以来，学院新增大数据公共治理、应急管理、干部教育学等二级学科，全球城市治理全英文硕士双学位。</w:t>
      </w:r>
    </w:p>
    <w:p>
      <w:pPr>
        <w:pStyle w:val="Style21"/>
        <w:spacing w:lineRule="exact" w:line="500" w:before="100" w:after="100"/>
        <w:ind w:firstLineChars="200" w:startChars="0" w:start="0" w:endChars="0" w:end="0"/>
        <w:contextualSpacing/>
        <w:jc w:val="both"/>
        <w:rPr>
          <w:sz w:val="21"/>
          <w:szCs w:val="21"/>
        </w:rPr>
      </w:pPr>
      <w:r>
        <w:rPr>
          <w:sz w:val="21"/>
          <w:szCs w:val="21"/>
        </w:rPr>
        <w:t>2012</w:t>
      </w:r>
      <w:r>
        <w:rPr>
          <w:sz w:val="21"/>
          <w:szCs w:val="21"/>
        </w:rPr>
        <w:t>年，公共管理学科在全国第三轮学科评估中名列全国高校第一。</w:t>
      </w:r>
      <w:r>
        <w:rPr>
          <w:sz w:val="21"/>
          <w:szCs w:val="21"/>
        </w:rPr>
        <w:t xml:space="preserve">2017 </w:t>
      </w:r>
      <w:r>
        <w:rPr>
          <w:sz w:val="21"/>
          <w:szCs w:val="21"/>
        </w:rPr>
        <w:t>年和</w:t>
      </w:r>
      <w:r>
        <w:rPr>
          <w:sz w:val="21"/>
          <w:szCs w:val="21"/>
        </w:rPr>
        <w:t>2022</w:t>
      </w:r>
      <w:r>
        <w:rPr>
          <w:sz w:val="21"/>
          <w:szCs w:val="21"/>
        </w:rPr>
        <w:t>年，公共管理一级学科入围第一轮和第二轮“双一流”建设高校及建设学科名单；在全国第四轮、第五轮学科评估中获评</w:t>
      </w:r>
      <w:r>
        <w:rPr>
          <w:sz w:val="21"/>
          <w:szCs w:val="21"/>
        </w:rPr>
        <w:t>A+</w:t>
      </w:r>
      <w:r>
        <w:rPr>
          <w:sz w:val="21"/>
          <w:szCs w:val="21"/>
        </w:rPr>
        <w:t>。</w:t>
      </w:r>
    </w:p>
    <w:p>
      <w:pPr>
        <w:pStyle w:val="Style21"/>
        <w:spacing w:lineRule="exact" w:line="500" w:before="100" w:after="100"/>
        <w:ind w:firstLineChars="200" w:startChars="0" w:start="0" w:endChars="0" w:end="0"/>
        <w:contextualSpacing/>
        <w:jc w:val="both"/>
        <w:rPr>
          <w:rFonts w:hint="eastAsia"/>
          <w:sz w:val="21"/>
          <w:szCs w:val="21"/>
        </w:rPr>
      </w:pPr>
      <w:r>
        <w:rPr>
          <w:sz w:val="21"/>
          <w:szCs w:val="21"/>
        </w:rPr>
        <w:t>学院现有专职教师</w:t>
      </w:r>
      <w:r>
        <w:rPr>
          <w:sz w:val="21"/>
          <w:szCs w:val="21"/>
        </w:rPr>
        <w:t>84</w:t>
      </w:r>
      <w:r>
        <w:rPr>
          <w:sz w:val="21"/>
          <w:szCs w:val="21"/>
        </w:rPr>
        <w:t>人，现有教师队伍由</w:t>
      </w:r>
      <w:r>
        <w:rPr>
          <w:sz w:val="21"/>
          <w:szCs w:val="21"/>
        </w:rPr>
        <w:t>46</w:t>
      </w:r>
      <w:r>
        <w:rPr>
          <w:sz w:val="21"/>
          <w:szCs w:val="21"/>
        </w:rPr>
        <w:t>位教授、</w:t>
      </w:r>
      <w:r>
        <w:rPr>
          <w:sz w:val="21"/>
          <w:szCs w:val="21"/>
        </w:rPr>
        <w:t>28</w:t>
      </w:r>
      <w:r>
        <w:rPr>
          <w:sz w:val="21"/>
          <w:szCs w:val="21"/>
        </w:rPr>
        <w:t>位副教授和</w:t>
      </w:r>
      <w:r>
        <w:rPr>
          <w:sz w:val="21"/>
          <w:szCs w:val="21"/>
        </w:rPr>
        <w:t>10</w:t>
      </w:r>
      <w:r>
        <w:rPr>
          <w:sz w:val="21"/>
          <w:szCs w:val="21"/>
        </w:rPr>
        <w:t>位讲师组成，其中拥有博士学位者</w:t>
      </w:r>
      <w:r>
        <w:rPr>
          <w:sz w:val="21"/>
          <w:szCs w:val="21"/>
        </w:rPr>
        <w:t>83</w:t>
      </w:r>
      <w:r>
        <w:rPr>
          <w:sz w:val="21"/>
          <w:szCs w:val="21"/>
        </w:rPr>
        <w:t>人，</w:t>
      </w:r>
      <w:r>
        <w:rPr>
          <w:sz w:val="21"/>
          <w:szCs w:val="21"/>
        </w:rPr>
        <w:t>34</w:t>
      </w:r>
      <w:r>
        <w:rPr>
          <w:sz w:val="21"/>
          <w:szCs w:val="21"/>
        </w:rPr>
        <w:t>人为海外博士学位获得者。</w:t>
      </w:r>
    </w:p>
    <w:p>
      <w:pPr>
        <w:pStyle w:val="Style21"/>
        <w:spacing w:lineRule="exact" w:line="500" w:before="100" w:after="100"/>
        <w:ind w:firstLineChars="200" w:startChars="0" w:start="0" w:endChars="0" w:end="0"/>
        <w:contextualSpacing/>
        <w:jc w:val="both"/>
        <w:rPr>
          <w:rFonts w:hint="eastAsia"/>
          <w:sz w:val="21"/>
          <w:szCs w:val="21"/>
        </w:rPr>
      </w:pPr>
      <w:r>
        <w:rPr>
          <w:sz w:val="21"/>
          <w:szCs w:val="21"/>
        </w:rPr>
        <w:t>城乡发展与规划专业是我国第一个基于公共管理视角的、多学科融合的城乡规划管理学科，以综合解决城乡问题为己任，致力于建构良好城乡环境并进而促进中国城乡发展与进步。主要培养从事城市规划、城市管理、城市经营、大型项目开发与管理、乡村治理等领域的复合型专门人才。城乡发展与规划专业适应城市建设和行业发展，顺应国家乡村振兴战略需要，紧跟时代前沿，解决现实问题。</w:t>
      </w:r>
    </w:p>
    <w:p>
      <w:pPr>
        <w:pStyle w:val="Style21"/>
        <w:spacing w:lineRule="exact" w:line="500" w:before="100" w:after="100"/>
        <w:ind w:firstLineChars="200" w:startChars="0" w:start="0" w:endChars="0" w:end="0"/>
        <w:contextualSpacing/>
        <w:jc w:val="both"/>
        <w:rPr>
          <w:sz w:val="21"/>
          <w:szCs w:val="21"/>
        </w:rPr>
      </w:pPr>
      <w:r>
        <w:rPr>
          <w:sz w:val="21"/>
          <w:szCs w:val="21"/>
        </w:rPr>
        <w:t> </w:t>
      </w:r>
      <w:r>
        <w:rPr>
          <w:sz w:val="21"/>
          <w:szCs w:val="21"/>
        </w:rPr>
        <w:t>本专业主要研究方向为：城乡发展理论、城镇化与统筹城乡发展规划、国土空间治理、城市治理、县域城镇化与高质量发展、乡村振兴理论与实践。</w:t>
      </w:r>
    </w:p>
    <w:p>
      <w:pPr>
        <w:pStyle w:val="Style21"/>
        <w:spacing w:lineRule="atLeast" w:line="500" w:before="0" w:after="0"/>
        <w:ind w:firstLineChars="200" w:startChars="0" w:start="0" w:endChars="0" w:end="0"/>
        <w:jc w:val="both"/>
        <w:rPr>
          <w:rFonts w:hint="eastAsia"/>
          <w:kern w:val="2"/>
          <w:sz w:val="21"/>
          <w:szCs w:val="21"/>
        </w:rPr>
      </w:pPr>
      <w:r>
        <w:rPr>
          <w:rFonts w:hint="eastAsia"/>
          <w:kern w:val="2"/>
          <w:sz w:val="21"/>
          <w:szCs w:val="21"/>
        </w:rPr>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atLeast" w:line="500" w:before="0" w:after="0"/>
        <w:ind w:firstLineChars="200" w:startChars="0" w:start="0" w:endChars="0" w:end="0"/>
        <w:jc w:val="both"/>
        <w:rPr>
          <w:rFonts w:hint="eastAsia"/>
          <w:kern w:val="2"/>
          <w:sz w:val="21"/>
          <w:szCs w:val="21"/>
        </w:rPr>
      </w:pPr>
      <w:r>
        <w:rPr>
          <w:rFonts w:hint="eastAsia"/>
          <w:kern w:val="2"/>
          <w:sz w:val="21"/>
          <w:szCs w:val="21"/>
        </w:rPr>
        <w:t>本专业为适应国家和地方城乡建设与发展需要，主要培养掌握城乡规划设计基础理论知识与较强的规划设计方案能力和应用实践能力，具备城乡规划师职业素养和设计构思及建设管理、综合协调、创新创业与实践等能力，能从事区域分析与规划、国土空间规划、城乡规划与设计、城乡绿地系统规划与景观环境设计、乡村规划设计等面向行业应用的城乡规划相关工作的高素质应用技术型人才。</w:t>
      </w:r>
    </w:p>
    <w:p>
      <w:pPr>
        <w:pStyle w:val="Style21"/>
        <w:spacing w:lineRule="atLeast" w:line="500" w:before="0" w:after="0"/>
        <w:ind w:firstLineChars="200" w:startChars="0" w:start="0" w:endChars="0" w:end="0"/>
        <w:jc w:val="both"/>
        <w:rPr>
          <w:kern w:val="2"/>
          <w:sz w:val="21"/>
          <w:szCs w:val="21"/>
        </w:rPr>
      </w:pPr>
      <w:r>
        <w:rPr>
          <w:rFonts w:hint="eastAsia"/>
          <w:kern w:val="2"/>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179"/>
        <w:gridCol w:w="4140"/>
        <w:gridCol w:w="320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宋体;SimSun" w:hint="eastAsia"/>
                <w:kern w:val="2"/>
                <w:sz w:val="21"/>
                <w:szCs w:val="21"/>
              </w:rPr>
              <w:t>城乡发展与规划</w:t>
            </w:r>
            <w:r>
              <w:rPr>
                <w:rFonts w:cs="微软雅黑" w:hint="eastAsia"/>
                <w:bCs/>
                <w:color w:val="000000"/>
                <w:sz w:val="21"/>
                <w:szCs w:val="21"/>
                <w:lang w:bidi="ar"/>
              </w:rPr>
              <w:t>专业课程设置</w:t>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cs="微软雅黑" w:hint="eastAsia"/>
                <w:b/>
                <w:bCs/>
                <w:color w:val="000000"/>
                <w:szCs w:val="21"/>
                <w:lang w:bidi="ar"/>
              </w:rPr>
            </w:pPr>
            <w:r>
              <w:rPr>
                <w:rFonts w:cs="微软雅黑" w:hint="eastAsia"/>
                <w:b/>
                <w:bCs/>
                <w:color w:val="000000"/>
                <w:sz w:val="21"/>
                <w:szCs w:val="21"/>
                <w:lang w:bidi="ar"/>
              </w:rPr>
            </w:r>
          </w:p>
          <w:p>
            <w:pPr>
              <w:pStyle w:val="Normal"/>
              <w:rPr>
                <w:rFonts w:cs="微软雅黑" w:hint="eastAsia"/>
                <w:b/>
                <w:bCs/>
                <w:color w:val="000000"/>
                <w:szCs w:val="21"/>
                <w:lang w:bidi="ar"/>
              </w:rPr>
            </w:pPr>
            <w:r>
              <w:rPr>
                <w:rFonts w:cs="微软雅黑" w:hint="eastAsia"/>
                <w:b/>
                <w:bCs/>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公共课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新时代中国特色社会主义理论与实践</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马克思主义与社会科学方法论</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语言基础</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firstLineChars="100" w:startChars="0" w:start="0" w:endChars="0" w:end="0"/>
              <w:rPr>
                <w:rFonts w:cs="微软雅黑" w:hint="eastAsia"/>
                <w:bCs/>
                <w:color w:val="000000"/>
                <w:sz w:val="21"/>
                <w:szCs w:val="21"/>
                <w:lang w:bidi="ar"/>
              </w:rPr>
            </w:pPr>
            <w:r>
              <w:rPr>
                <w:rFonts w:cs="微软雅黑" w:hint="eastAsia"/>
                <w:bCs/>
                <w:color w:val="000000"/>
                <w:sz w:val="21"/>
                <w:szCs w:val="21"/>
                <w:lang w:bidi="ar"/>
              </w:rPr>
              <w:t>基础课</w:t>
            </w:r>
          </w:p>
          <w:p>
            <w:pPr>
              <w:pStyle w:val="Heading6"/>
              <w:widowControl/>
              <w:spacing w:before="225" w:after="75"/>
              <w:ind w:hanging="0" w:start="0"/>
              <w:rPr>
                <w:rFonts w:cs="微软雅黑" w:hint="eastAsia"/>
                <w:b w:val="false"/>
                <w:color w:val="000000"/>
                <w:sz w:val="21"/>
                <w:szCs w:val="21"/>
                <w:lang w:bidi="ar"/>
              </w:rPr>
            </w:pPr>
            <w:r>
              <w:rPr>
                <w:rFonts w:cs="微软雅黑" w:hint="eastAsia"/>
                <w:b w:val="false"/>
                <w:bCs/>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公共管理</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统筹城乡发展规划</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城市制度经济学</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r>
      <w:tr>
        <w:trPr>
          <w:trHeight w:val="567" w:hRule="atLeast"/>
        </w:trPr>
        <w:tc>
          <w:tcPr>
            <w:tcW w:w="1179" w:type="dxa"/>
            <w:vMerge w:val="restart"/>
            <w:tcBorders>
              <w:top w:val="single" w:sz="4" w:space="0" w:color="000000"/>
              <w:start w:val="single" w:sz="4" w:space="0" w:color="000000"/>
              <w:bottom w:val="single" w:sz="4" w:space="0" w:color="000000"/>
              <w:end w:val="single" w:sz="4" w:space="0" w:color="000000"/>
            </w:tcBorders>
          </w:tcPr>
          <w:p>
            <w:pPr>
              <w:pStyle w:val="Heading6"/>
              <w:snapToGrid w:val="false"/>
              <w:spacing w:before="0" w:after="100"/>
              <w:ind w:hanging="0" w:start="0"/>
              <w:jc w:val="center"/>
              <w:rPr>
                <w:rFonts w:cs="微软雅黑"/>
                <w:b w:val="false"/>
                <w:color w:val="000000"/>
                <w:sz w:val="21"/>
                <w:szCs w:val="21"/>
                <w:lang w:bidi="ar"/>
              </w:rPr>
            </w:pPr>
            <w:r>
              <w:rPr>
                <w:rFonts w:cs="微软雅黑"/>
                <w:b w:val="false"/>
                <w:color w:val="000000"/>
                <w:sz w:val="21"/>
                <w:szCs w:val="21"/>
                <w:lang w:bidi="ar"/>
              </w:rPr>
            </w:r>
          </w:p>
          <w:p>
            <w:pPr>
              <w:pStyle w:val="Heading6"/>
              <w:spacing w:before="100" w:after="0"/>
              <w:ind w:hanging="0" w:start="0"/>
              <w:jc w:val="center"/>
              <w:rPr>
                <w:rFonts w:cs="微软雅黑"/>
                <w:bCs/>
                <w:color w:val="000000"/>
                <w:sz w:val="21"/>
                <w:szCs w:val="21"/>
                <w:lang w:bidi="ar"/>
              </w:rPr>
            </w:pPr>
            <w:r>
              <w:rPr>
                <w:rFonts w:cs="微软雅黑" w:hint="eastAsia"/>
                <w:bCs/>
                <w:color w:val="000000"/>
                <w:sz w:val="21"/>
                <w:szCs w:val="21"/>
                <w:lang w:bidi="ar"/>
              </w:rPr>
              <w:t>专业课</w:t>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城市</w:t>
            </w:r>
            <w:r>
              <w:rPr>
                <w:rFonts w:cs="微软雅黑" w:hint="eastAsia"/>
                <w:b w:val="false"/>
                <w:color w:val="000000"/>
                <w:sz w:val="21"/>
                <w:szCs w:val="21"/>
                <w:lang w:bidi="ar"/>
              </w:rPr>
              <w:t>规划与公共政策</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城市交通规划</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大数据与城市规划管理</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社区发展的理论与实践</w:t>
            </w:r>
          </w:p>
        </w:tc>
      </w:tr>
      <w:tr>
        <w:trPr>
          <w:trHeight w:val="567" w:hRule="atLeast"/>
        </w:trPr>
        <w:tc>
          <w:tcPr>
            <w:tcW w:w="117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414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城市规划理论</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ascii="Calibri" w:hAnsi="Calibri" w:cs="Calibri" w:hint="eastAsia"/>
                <w:b w:val="false"/>
                <w:bCs/>
                <w:kern w:val="2"/>
                <w:sz w:val="21"/>
                <w:szCs w:val="21"/>
              </w:rPr>
            </w:pPr>
            <w:r>
              <w:rPr>
                <w:rFonts w:cs="Calibri" w:hint="eastAsia" w:ascii="Calibri" w:hAnsi="Calibri"/>
                <w:b w:val="false"/>
                <w:bCs/>
                <w:kern w:val="2"/>
                <w:sz w:val="21"/>
                <w:szCs w:val="21"/>
              </w:rPr>
            </w:r>
          </w:p>
        </w:tc>
      </w:tr>
      <w:tr>
        <w:trPr>
          <w:trHeight w:val="567" w:hRule="atLeast"/>
        </w:trPr>
        <w:tc>
          <w:tcPr>
            <w:tcW w:w="1179"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方法课</w:t>
            </w:r>
          </w:p>
        </w:tc>
        <w:tc>
          <w:tcPr>
            <w:tcW w:w="414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ascii="Calibri" w:hAnsi="Calibri" w:cs="Times New Roman" w:hint="eastAsia"/>
                <w:bCs/>
                <w:kern w:val="2"/>
                <w:sz w:val="21"/>
                <w:szCs w:val="21"/>
              </w:rPr>
              <w:t>学术规范和论文写作</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城市研究中的计量方法</w:t>
            </w:r>
          </w:p>
        </w:tc>
      </w:tr>
      <w:tr>
        <w:trPr>
          <w:trHeight w:val="567" w:hRule="atLeast"/>
        </w:trPr>
        <w:tc>
          <w:tcPr>
            <w:tcW w:w="1179"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选修课</w:t>
            </w:r>
          </w:p>
        </w:tc>
        <w:tc>
          <w:tcPr>
            <w:tcW w:w="414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kern w:val="2"/>
                <w:sz w:val="21"/>
                <w:szCs w:val="21"/>
              </w:rPr>
            </w:pPr>
            <w:r>
              <w:rPr>
                <w:rFonts w:ascii="Calibri" w:hAnsi="Calibri" w:cs="Times New Roman" w:hint="eastAsia"/>
                <w:bCs/>
                <w:kern w:val="2"/>
                <w:sz w:val="21"/>
                <w:szCs w:val="21"/>
              </w:rPr>
              <w:t>国土空间规划与治理专题</w:t>
            </w:r>
          </w:p>
        </w:tc>
        <w:tc>
          <w:tcPr>
            <w:tcW w:w="32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hint="eastAsia"/>
                <w:b w:val="false"/>
                <w:bCs/>
                <w:kern w:val="2"/>
                <w:sz w:val="21"/>
                <w:szCs w:val="21"/>
              </w:rPr>
            </w:pPr>
            <w:r>
              <w:rPr>
                <w:rFonts w:ascii="Calibri" w:hAnsi="Calibri" w:cs="Calibri" w:hint="eastAsia"/>
                <w:b w:val="false"/>
                <w:bCs/>
                <w:kern w:val="2"/>
                <w:sz w:val="21"/>
                <w:szCs w:val="21"/>
              </w:rPr>
              <w:t>城乡发展与规划前沿专题</w:t>
            </w:r>
          </w:p>
        </w:tc>
      </w:tr>
    </w:tbl>
    <w:p>
      <w:pPr>
        <w:pStyle w:val="Style21"/>
        <w:spacing w:lineRule="exact" w:line="500" w:before="100" w:after="100"/>
        <w:ind w:firstLineChars="1300" w:startChars="0" w:start="0" w:endChars="0" w:end="0"/>
        <w:contextualSpacing/>
        <w:rPr>
          <w:rFonts w:cs="微软雅黑" w:hint="eastAsia"/>
          <w:color w:val="000000"/>
          <w:sz w:val="21"/>
          <w:szCs w:val="21"/>
          <w:lang w:bidi="ar"/>
        </w:rPr>
      </w:pPr>
      <w:r>
        <w:rPr>
          <w:rFonts w:hint="eastAsia"/>
          <w:sz w:val="21"/>
          <w:szCs w:val="21"/>
        </w:rPr>
        <w:t>注：具体课程参照实际教学</w:t>
      </w:r>
    </w:p>
    <w:p>
      <w:pPr>
        <w:pStyle w:val="Style21"/>
        <w:spacing w:lineRule="exact" w:line="500" w:before="100" w:after="100"/>
        <w:contextualSpacing/>
        <w:rPr>
          <w:b/>
          <w:color w:val="C00000"/>
          <w:sz w:val="21"/>
          <w:szCs w:val="21"/>
        </w:rPr>
      </w:pPr>
      <w:r>
        <w:rPr>
          <w:rFonts w:cs="微软雅黑" w:hint="eastAsia"/>
          <w:b/>
          <w:color w:val="C00000"/>
          <w:sz w:val="21"/>
          <w:szCs w:val="21"/>
          <w:lang w:bidi="ar"/>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100" w:startChars="0" w:start="0" w:endChars="0" w:end="0"/>
        <w:rPr>
          <w:sz w:val="21"/>
          <w:szCs w:val="21"/>
        </w:rPr>
      </w:pPr>
      <w:r>
        <w:rPr>
          <w:sz w:val="21"/>
          <w:szCs w:val="21"/>
        </w:rPr>
        <w:t>线上线下结合班：每月安排</w:t>
      </w:r>
      <w:r>
        <w:rPr>
          <w:sz w:val="21"/>
          <w:szCs w:val="21"/>
        </w:rPr>
        <w:t>2-4</w:t>
      </w:r>
      <w:r>
        <w:rPr>
          <w:sz w:val="21"/>
          <w:szCs w:val="21"/>
        </w:rPr>
        <w:t>天周末时间集中授课，线上线下结合。</w:t>
      </w:r>
    </w:p>
    <w:p>
      <w:pPr>
        <w:pStyle w:val="Style21"/>
        <w:spacing w:lineRule="atLeast" w:line="450" w:before="0" w:after="0"/>
        <w:ind w:firstLineChars="100" w:startChars="0" w:start="0" w:endChars="0" w:end="0"/>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exact" w:line="500" w:before="100" w:after="100"/>
        <w:ind w:firstLineChars="100" w:startChars="0" w:start="0" w:endChars="0" w:end="0"/>
        <w:contextualSpacing/>
        <w:rPr>
          <w:sz w:val="21"/>
          <w:szCs w:val="21"/>
        </w:rPr>
      </w:pPr>
      <w:r>
        <w:rPr>
          <w:sz w:val="21"/>
          <w:szCs w:val="21"/>
        </w:rPr>
        <w:t>1.5</w:t>
      </w:r>
      <w:r>
        <w:rPr>
          <w:sz w:val="21"/>
          <w:szCs w:val="21"/>
        </w:rPr>
        <w:t>年内完成科目学习。</w:t>
      </w:r>
    </w:p>
    <w:p>
      <w:pPr>
        <w:pStyle w:val="Style21"/>
        <w:spacing w:lineRule="exact" w:line="500" w:before="100" w:after="100"/>
        <w:contextualSpacing/>
        <w:rPr>
          <w:rFonts w:hint="eastAsia"/>
          <w:sz w:val="21"/>
          <w:szCs w:val="21"/>
        </w:rPr>
      </w:pPr>
      <w:r>
        <w:rPr>
          <w:rFonts w:hint="eastAsia"/>
          <w:sz w:val="21"/>
          <w:szCs w:val="21"/>
        </w:rPr>
      </w:r>
    </w:p>
    <w:p>
      <w:pPr>
        <w:pStyle w:val="Style21"/>
        <w:numPr>
          <w:ilvl w:val="0"/>
          <w:numId w:val="3"/>
        </w:numPr>
        <w:spacing w:lineRule="exact" w:line="500" w:before="100" w:after="280"/>
        <w:rPr>
          <w:b/>
          <w:color w:val="C00000"/>
          <w:sz w:val="21"/>
          <w:szCs w:val="21"/>
        </w:rPr>
      </w:pPr>
      <w:r>
        <w:rPr>
          <w:b/>
          <w:color w:val="C00000"/>
          <w:sz w:val="21"/>
          <w:szCs w:val="21"/>
        </w:rPr>
        <w:t>报名条件</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1. </w:t>
      </w:r>
      <w:r>
        <w:rPr>
          <w:rFonts w:hint="eastAsia"/>
          <w:sz w:val="21"/>
          <w:szCs w:val="21"/>
        </w:rPr>
        <w:t>拥护《中华人民共和国宪法》，遵纪守法，品行端正，身体健康，并能坚持在职学习者。</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 xml:space="preserve">2. </w:t>
      </w:r>
      <w:r>
        <w:rPr>
          <w:rFonts w:hint="eastAsia"/>
          <w:sz w:val="21"/>
          <w:szCs w:val="21"/>
        </w:rPr>
        <w:t>大专以上学历，具有本专业工作基础。</w:t>
      </w:r>
    </w:p>
    <w:p>
      <w:pPr>
        <w:pStyle w:val="Style21"/>
        <w:spacing w:lineRule="exact" w:line="500" w:before="100" w:after="100"/>
        <w:contextualSpacing/>
        <w:rPr>
          <w:rFonts w:hint="eastAsia"/>
          <w:sz w:val="21"/>
          <w:szCs w:val="21"/>
        </w:rPr>
      </w:pPr>
      <w:r>
        <w:rPr>
          <w:rFonts w:hint="eastAsia"/>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420" w:end="0"/>
        <w:contextualSpacing/>
        <w:rPr>
          <w:sz w:val="21"/>
          <w:szCs w:val="21"/>
        </w:rPr>
      </w:pPr>
      <w:r>
        <w:rPr>
          <w:sz w:val="21"/>
          <w:szCs w:val="21"/>
        </w:rPr>
        <w:t>线上提交报名登记表、本人最后学历证书、学位证书、身份证扫描件和电子照片等材料。</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38000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abstractNum w:abstractNumId="3">
    <w:lvl w:ilvl="0">
      <w:start w:val="6"/>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2026-12-28T11:35:00Z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D02EA8341BC147EB816592204AFB490B_13</vt:lpwstr>
  </property>
  <property fmtid="{D5CDD505-2E9C-101B-9397-08002B2CF9AE}" pid="3" name="KSOProductBuildVer">
    <vt:lpwstr>2052-12.1.0.16120</vt:lpwstr>
  </property>
</Properties>
</file>