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管理科学与工程</w:t>
      </w:r>
      <w:r>
        <w:rPr>
          <w:b/>
          <w:sz w:val="30"/>
          <w:szCs w:val="30"/>
        </w:rPr>
        <w:t>专业在职课程培训班</w:t>
      </w:r>
    </w:p>
    <w:p>
      <w:pPr>
        <w:pStyle w:val="Style21"/>
        <w:spacing w:lineRule="exact" w:line="500" w:before="100" w:after="100"/>
        <w:ind w:hangingChars="800" w:startChars="300" w:endChars="0" w:end="0"/>
        <w:contextualSpacing/>
        <w:jc w:val="center"/>
        <w:rPr>
          <w:b/>
          <w:sz w:val="30"/>
          <w:szCs w:val="30"/>
        </w:rPr>
      </w:pPr>
      <w:r>
        <w:rPr>
          <w:rFonts w:hint="eastAsia"/>
          <w:b/>
          <w:sz w:val="30"/>
          <w:szCs w:val="30"/>
        </w:rPr>
        <w:t>招生简章</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理工</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信息</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0" w:after="0"/>
        <w:ind w:firstLineChars="200" w:startChars="0" w:start="0" w:endChars="0" w:end="0"/>
        <w:rPr>
          <w:sz w:val="21"/>
          <w:szCs w:val="21"/>
        </w:rPr>
      </w:pPr>
      <w:r>
        <w:rPr>
          <w:sz w:val="21"/>
          <w:szCs w:val="21"/>
        </w:rPr>
        <w:t>中国人民大学信息学院是全国最早将数学与计算机应用在经济管理领域的学院，也是国内高校中第一个以“信息”命名专业的学院，被誉为“开信息之先河”。目前学院下设计算机系和经济信息管理系，包含信息管理与信息系统、计算机科学与技术、信息安全、软件工程、数据科学与大数据技术</w:t>
      </w:r>
      <w:r>
        <w:rPr>
          <w:sz w:val="21"/>
          <w:szCs w:val="21"/>
        </w:rPr>
        <w:t>5</w:t>
      </w:r>
      <w:r>
        <w:rPr>
          <w:sz w:val="21"/>
          <w:szCs w:val="21"/>
        </w:rPr>
        <w:t>个本科专业；管理科学与工程、软件工程</w:t>
      </w:r>
      <w:r>
        <w:rPr>
          <w:sz w:val="21"/>
          <w:szCs w:val="21"/>
        </w:rPr>
        <w:t>2</w:t>
      </w:r>
      <w:r>
        <w:rPr>
          <w:sz w:val="21"/>
          <w:szCs w:val="21"/>
        </w:rPr>
        <w:t>个一级学科硕士学位授权点；电子信息类别专业学位硕士点；计算机科学与技术、管理科学与工程</w:t>
      </w:r>
      <w:r>
        <w:rPr>
          <w:sz w:val="21"/>
          <w:szCs w:val="21"/>
        </w:rPr>
        <w:t>2</w:t>
      </w:r>
      <w:r>
        <w:rPr>
          <w:sz w:val="21"/>
          <w:szCs w:val="21"/>
        </w:rPr>
        <w:t>个一级学科博士学位授权点与计算机科学与技术博士后流动站。如今，学院已发展形成涵盖信息技术与信息管理全方位学科的本硕博一体化教学体系，助力复合型人才培养。学院拥有国家级实验室</w:t>
      </w:r>
      <w:r>
        <w:rPr>
          <w:sz w:val="21"/>
          <w:szCs w:val="21"/>
        </w:rPr>
        <w:t>1</w:t>
      </w:r>
      <w:r>
        <w:rPr>
          <w:sz w:val="21"/>
          <w:szCs w:val="21"/>
        </w:rPr>
        <w:t>个，省部级实验室</w:t>
      </w:r>
      <w:r>
        <w:rPr>
          <w:sz w:val="21"/>
          <w:szCs w:val="21"/>
        </w:rPr>
        <w:t>3</w:t>
      </w:r>
      <w:r>
        <w:rPr>
          <w:sz w:val="21"/>
          <w:szCs w:val="21"/>
        </w:rPr>
        <w:t>个，同全球知名互联网企业共建联合实验室</w:t>
      </w:r>
      <w:r>
        <w:rPr>
          <w:sz w:val="21"/>
          <w:szCs w:val="21"/>
        </w:rPr>
        <w:t>5</w:t>
      </w:r>
      <w:r>
        <w:rPr>
          <w:sz w:val="21"/>
          <w:szCs w:val="21"/>
        </w:rPr>
        <w:t>个，多次承担国家科研计划，荣获国家科学技术进步奖及多项省部级奖项。</w:t>
      </w:r>
    </w:p>
    <w:p>
      <w:pPr>
        <w:pStyle w:val="Style21"/>
        <w:spacing w:lineRule="exact" w:line="500" w:before="0" w:after="0"/>
        <w:ind w:firstLineChars="200" w:startChars="0" w:start="0" w:endChars="0" w:end="0"/>
        <w:rPr>
          <w:sz w:val="21"/>
          <w:szCs w:val="21"/>
        </w:rPr>
      </w:pPr>
      <w:r>
        <w:rPr>
          <w:sz w:val="21"/>
          <w:szCs w:val="21"/>
        </w:rPr>
        <w:t>学院师资雄厚，教师们四十多年来始终站在学科前沿，跟踪国际先进技术，是国内最早开展面向管理信息系统、电子商务、数据库、数据仓库与商务智能、大数据技术、人工智能、区块链等教学和研究的单位，承担了国家重点研发计划项目、国家社会科学基金重大项目、国家自然科学基金重点项目、教育部哲学社会科学重大攻关项目等多项研究。</w:t>
      </w:r>
    </w:p>
    <w:p>
      <w:pPr>
        <w:pStyle w:val="Style21"/>
        <w:spacing w:lineRule="exact" w:line="500" w:before="0" w:after="0"/>
        <w:ind w:firstLineChars="200" w:startChars="0" w:start="0" w:endChars="0" w:end="0"/>
        <w:rPr>
          <w:sz w:val="21"/>
          <w:szCs w:val="21"/>
        </w:rPr>
      </w:pPr>
      <w:r>
        <w:rPr>
          <w:sz w:val="21"/>
          <w:szCs w:val="21"/>
        </w:rPr>
        <w:t> </w:t>
      </w:r>
    </w:p>
    <w:p>
      <w:pPr>
        <w:pStyle w:val="Style21"/>
        <w:spacing w:lineRule="exact" w:line="500" w:before="0" w:after="0"/>
        <w:ind w:firstLineChars="200" w:startChars="0" w:start="0" w:endChars="0" w:end="0"/>
        <w:rPr>
          <w:sz w:val="21"/>
          <w:szCs w:val="21"/>
        </w:rPr>
      </w:pPr>
      <w:r>
        <w:rPr>
          <w:sz w:val="21"/>
          <w:szCs w:val="21"/>
        </w:rPr>
      </w:r>
    </w:p>
    <w:p>
      <w:pPr>
        <w:pStyle w:val="Style21"/>
        <w:spacing w:lineRule="exact" w:line="500" w:before="0" w:after="0"/>
        <w:ind w:firstLineChars="200" w:startChars="0" w:start="0" w:endChars="0" w:end="0"/>
        <w:rPr>
          <w:sz w:val="21"/>
          <w:szCs w:val="21"/>
        </w:rPr>
      </w:pPr>
      <w:r>
        <w:rPr>
          <w:sz w:val="21"/>
          <w:szCs w:val="21"/>
        </w:rPr>
        <w:t>中国人民大学信息学院“六个第一”：</w:t>
      </w:r>
    </w:p>
    <w:p>
      <w:pPr>
        <w:pStyle w:val="Style21"/>
        <w:spacing w:lineRule="exact" w:line="500" w:before="0" w:after="0"/>
        <w:ind w:firstLineChars="200" w:startChars="0" w:start="0" w:endChars="0" w:end="0"/>
        <w:rPr>
          <w:sz w:val="21"/>
          <w:szCs w:val="21"/>
        </w:rPr>
      </w:pPr>
      <w:r>
        <w:rPr>
          <w:sz w:val="21"/>
          <w:szCs w:val="21"/>
        </w:rPr>
        <w:t>★</w:t>
      </w:r>
      <w:r>
        <w:rPr>
          <w:sz w:val="21"/>
          <w:szCs w:val="21"/>
        </w:rPr>
        <w:t>第一个将“信息”一词用作我国高校的专业名称：“经济信息管理”。</w:t>
      </w:r>
    </w:p>
    <w:p>
      <w:pPr>
        <w:pStyle w:val="Style21"/>
        <w:spacing w:lineRule="exact" w:line="500" w:before="0" w:after="0"/>
        <w:ind w:firstLineChars="200" w:startChars="0" w:start="0" w:endChars="0" w:end="0"/>
        <w:rPr>
          <w:sz w:val="21"/>
          <w:szCs w:val="21"/>
        </w:rPr>
      </w:pPr>
      <w:r>
        <w:rPr>
          <w:sz w:val="21"/>
          <w:szCs w:val="21"/>
        </w:rPr>
        <w:t>★</w:t>
      </w:r>
      <w:r>
        <w:rPr>
          <w:sz w:val="21"/>
          <w:szCs w:val="21"/>
        </w:rPr>
        <w:t>第一个以信息技术在经济管理领域应用为特色的系科：经济信息管理系（</w:t>
      </w:r>
      <w:r>
        <w:rPr>
          <w:sz w:val="21"/>
          <w:szCs w:val="21"/>
        </w:rPr>
        <w:t>1978</w:t>
      </w:r>
      <w:r>
        <w:rPr>
          <w:sz w:val="21"/>
          <w:szCs w:val="21"/>
        </w:rPr>
        <w:t>年），发展为信息学院。</w:t>
      </w:r>
    </w:p>
    <w:p>
      <w:pPr>
        <w:pStyle w:val="Style21"/>
        <w:spacing w:lineRule="exact" w:line="500" w:before="0" w:after="0"/>
        <w:ind w:firstLineChars="200" w:startChars="0" w:start="0" w:endChars="0" w:end="0"/>
        <w:rPr>
          <w:sz w:val="21"/>
          <w:szCs w:val="21"/>
        </w:rPr>
      </w:pPr>
      <w:r>
        <w:rPr>
          <w:sz w:val="21"/>
          <w:szCs w:val="21"/>
        </w:rPr>
        <w:t>★</w:t>
      </w:r>
      <w:r>
        <w:rPr>
          <w:sz w:val="21"/>
          <w:szCs w:val="21"/>
        </w:rPr>
        <w:t>第一批我国高校计算机应用技术硕士点授予单位。</w:t>
      </w:r>
    </w:p>
    <w:p>
      <w:pPr>
        <w:pStyle w:val="Style21"/>
        <w:spacing w:lineRule="exact" w:line="500" w:before="0" w:after="0"/>
        <w:ind w:firstLineChars="200" w:startChars="0" w:start="0" w:endChars="0" w:end="0"/>
        <w:rPr>
          <w:sz w:val="21"/>
          <w:szCs w:val="21"/>
        </w:rPr>
      </w:pPr>
      <w:r>
        <w:rPr>
          <w:sz w:val="21"/>
          <w:szCs w:val="21"/>
        </w:rPr>
        <w:t>★</w:t>
      </w:r>
      <w:r>
        <w:rPr>
          <w:sz w:val="21"/>
          <w:szCs w:val="21"/>
        </w:rPr>
        <w:t>第一批我国高校数量经济学硕士点授予单位。</w:t>
      </w:r>
    </w:p>
    <w:p>
      <w:pPr>
        <w:pStyle w:val="Style21"/>
        <w:spacing w:lineRule="exact" w:line="500" w:before="0" w:after="0"/>
        <w:ind w:firstLineChars="200" w:startChars="0" w:start="0" w:endChars="0" w:end="0"/>
        <w:rPr>
          <w:sz w:val="21"/>
          <w:szCs w:val="21"/>
        </w:rPr>
      </w:pPr>
      <w:r>
        <w:rPr>
          <w:sz w:val="21"/>
          <w:szCs w:val="21"/>
        </w:rPr>
        <w:t>★</w:t>
      </w:r>
      <w:r>
        <w:rPr>
          <w:sz w:val="21"/>
          <w:szCs w:val="21"/>
        </w:rPr>
        <w:t>第一个教育部数据库与商务智能工程研究中心。</w:t>
      </w:r>
    </w:p>
    <w:p>
      <w:pPr>
        <w:pStyle w:val="Style21"/>
        <w:spacing w:lineRule="exact" w:line="500" w:before="0" w:after="0"/>
        <w:ind w:firstLineChars="200" w:startChars="0" w:start="0" w:endChars="0" w:end="0"/>
        <w:rPr>
          <w:sz w:val="21"/>
          <w:szCs w:val="21"/>
        </w:rPr>
      </w:pPr>
      <w:r>
        <w:rPr>
          <w:sz w:val="21"/>
          <w:szCs w:val="21"/>
        </w:rPr>
        <w:t>★</w:t>
      </w:r>
      <w:r>
        <w:rPr>
          <w:sz w:val="21"/>
          <w:szCs w:val="21"/>
        </w:rPr>
        <w:t>第一个北京市软件产业化中心：数据库产业化基地。</w:t>
      </w:r>
    </w:p>
    <w:p>
      <w:pPr>
        <w:pStyle w:val="Style21"/>
        <w:spacing w:lineRule="exact" w:line="500" w:before="100" w:after="100"/>
        <w:contextualSpacing/>
        <w:rPr>
          <w:rFonts w:ascii="微软雅黑" w:hAnsi="微软雅黑" w:eastAsia="微软雅黑" w:cs="微软雅黑" w:hint="eastAsia"/>
          <w:color w:val="4C4C4C"/>
          <w:sz w:val="21"/>
          <w:szCs w:val="21"/>
          <w:shd w:fill="FFFFFF" w:val="clear"/>
        </w:rPr>
      </w:pPr>
      <w:r>
        <w:rPr>
          <w:rFonts w:eastAsia="微软雅黑" w:cs="微软雅黑" w:hint="eastAsia" w:ascii="微软雅黑" w:hAnsi="微软雅黑"/>
          <w:color w:val="4C4C4C"/>
          <w:sz w:val="21"/>
          <w:szCs w:val="21"/>
          <w:shd w:fill="FFFFFF" w:val="clear"/>
        </w:rPr>
      </w:r>
    </w:p>
    <w:p>
      <w:pPr>
        <w:pStyle w:val="Style21"/>
        <w:spacing w:lineRule="exact" w:line="500" w:before="100" w:after="100"/>
        <w:contextualSpacing/>
        <w:rPr>
          <w:b/>
          <w:color w:val="C00000"/>
          <w:sz w:val="21"/>
          <w:szCs w:val="21"/>
        </w:rPr>
      </w:pPr>
      <w:r>
        <w:rPr>
          <w:b/>
          <w:color w:val="C00000"/>
          <w:sz w:val="21"/>
          <w:szCs w:val="21"/>
        </w:rPr>
        <w:t>二、培养目标</w:t>
      </w:r>
    </w:p>
    <w:p>
      <w:pPr>
        <w:pStyle w:val="Style21"/>
        <w:spacing w:lineRule="exact" w:line="500" w:before="100" w:after="100"/>
        <w:ind w:firstLineChars="200" w:startChars="0" w:start="0" w:endChars="0" w:end="0"/>
        <w:contextualSpacing/>
        <w:rPr>
          <w:sz w:val="21"/>
          <w:szCs w:val="21"/>
        </w:rPr>
      </w:pPr>
      <w:r>
        <w:rPr>
          <w:sz w:val="21"/>
          <w:szCs w:val="21"/>
        </w:rPr>
        <w:t>研究方向：</w:t>
      </w:r>
      <w:r>
        <w:rPr>
          <w:sz w:val="21"/>
          <w:szCs w:val="21"/>
        </w:rPr>
        <w:t>1</w:t>
      </w:r>
      <w:r>
        <w:rPr>
          <w:sz w:val="21"/>
          <w:szCs w:val="21"/>
        </w:rPr>
        <w:t xml:space="preserve">、管理信息系统 </w:t>
      </w:r>
      <w:r>
        <w:rPr>
          <w:sz w:val="21"/>
          <w:szCs w:val="21"/>
        </w:rPr>
        <w:t>2</w:t>
      </w:r>
      <w:r>
        <w:rPr>
          <w:sz w:val="21"/>
          <w:szCs w:val="21"/>
        </w:rPr>
        <w:t xml:space="preserve">、电子商务与电子政务 </w:t>
      </w:r>
      <w:r>
        <w:rPr>
          <w:sz w:val="21"/>
          <w:szCs w:val="21"/>
        </w:rPr>
        <w:t>3</w:t>
      </w:r>
      <w:r>
        <w:rPr>
          <w:sz w:val="21"/>
          <w:szCs w:val="21"/>
        </w:rPr>
        <w:t xml:space="preserve">、项目管理与知识管理 </w:t>
      </w:r>
      <w:r>
        <w:rPr>
          <w:sz w:val="21"/>
          <w:szCs w:val="21"/>
        </w:rPr>
        <w:t>4</w:t>
      </w:r>
      <w:r>
        <w:rPr>
          <w:sz w:val="21"/>
          <w:szCs w:val="21"/>
        </w:rPr>
        <w:t>、管理科学与系统理论</w:t>
      </w:r>
    </w:p>
    <w:p>
      <w:pPr>
        <w:pStyle w:val="Style21"/>
        <w:spacing w:lineRule="exact" w:line="500" w:before="100" w:after="100"/>
        <w:ind w:firstLineChars="200" w:startChars="0" w:start="0" w:endChars="0" w:end="0"/>
        <w:contextualSpacing/>
        <w:rPr>
          <w:sz w:val="21"/>
          <w:szCs w:val="21"/>
        </w:rPr>
      </w:pPr>
      <w:r>
        <w:rPr>
          <w:sz w:val="21"/>
          <w:szCs w:val="21"/>
        </w:rPr>
        <w:t>管理科学与工程专业（学科门类：工学；一级学科：管理科学与工程 ）是研究管理中的一般理论、方法和工具，是管理学科和理科、工科的交叉。它的技术基础是计算机和其他现代信息技术，它的思想方法是系统科学和系统方法。下属二级学科包括：信息管理与信息系统、工程管理（即项目管理）、工业工程和管理科学。近年来兴起的</w:t>
      </w:r>
      <w:r>
        <w:rPr>
          <w:sz w:val="21"/>
          <w:szCs w:val="21"/>
        </w:rPr>
        <w:t>"</w:t>
      </w:r>
      <w:r>
        <w:rPr>
          <w:sz w:val="21"/>
          <w:szCs w:val="21"/>
        </w:rPr>
        <w:t>电子商务</w:t>
      </w:r>
      <w:r>
        <w:rPr>
          <w:sz w:val="21"/>
          <w:szCs w:val="21"/>
        </w:rPr>
        <w:t>"</w:t>
      </w:r>
      <w:r>
        <w:rPr>
          <w:sz w:val="21"/>
          <w:szCs w:val="21"/>
        </w:rPr>
        <w:t>、</w:t>
      </w:r>
      <w:r>
        <w:rPr>
          <w:sz w:val="21"/>
          <w:szCs w:val="21"/>
        </w:rPr>
        <w:t>"</w:t>
      </w:r>
      <w:r>
        <w:rPr>
          <w:sz w:val="21"/>
          <w:szCs w:val="21"/>
        </w:rPr>
        <w:t>电子政务</w:t>
      </w:r>
      <w:r>
        <w:rPr>
          <w:sz w:val="21"/>
          <w:szCs w:val="21"/>
        </w:rPr>
        <w:t>"</w:t>
      </w:r>
      <w:r>
        <w:rPr>
          <w:sz w:val="21"/>
          <w:szCs w:val="21"/>
        </w:rPr>
        <w:t>等其实都是在它的范围之内的新方向。该学科的研究具有鲜明的现实性，与信息化的实际紧密结合，直接为目前急需的</w:t>
      </w:r>
      <w:r>
        <w:rPr>
          <w:sz w:val="21"/>
          <w:szCs w:val="21"/>
        </w:rPr>
        <w:t>ERP</w:t>
      </w:r>
      <w:r>
        <w:rPr>
          <w:sz w:val="21"/>
          <w:szCs w:val="21"/>
        </w:rPr>
        <w:t>，电子商务、电子政务等领域培养技术骨干人才。</w:t>
      </w:r>
    </w:p>
    <w:p>
      <w:pPr>
        <w:pStyle w:val="Style21"/>
        <w:spacing w:lineRule="exact" w:line="500" w:before="100" w:after="100"/>
        <w:ind w:firstLine="1134" w:end="0"/>
        <w:contextualSpacing/>
        <w:rPr>
          <w:sz w:val="21"/>
          <w:szCs w:val="21"/>
        </w:rPr>
      </w:pPr>
      <w:r>
        <w:rPr>
          <w:sz w:val="21"/>
          <w:szCs w:val="21"/>
        </w:rPr>
      </w:r>
    </w:p>
    <w:p>
      <w:pPr>
        <w:pStyle w:val="Style21"/>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389"/>
        <w:gridCol w:w="3660"/>
        <w:gridCol w:w="347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管理科学与工程专业课程设置</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cs="微软雅黑" w:hint="eastAsia"/>
                <w:b/>
                <w:bCs/>
                <w:color w:val="000000"/>
                <w:szCs w:val="21"/>
                <w:lang w:bidi="ar"/>
              </w:rPr>
            </w:pPr>
            <w:r>
              <w:rPr>
                <w:rFonts w:cs="微软雅黑" w:hint="eastAsia"/>
                <w:b/>
                <w:bCs/>
                <w:color w:val="000000"/>
                <w:sz w:val="21"/>
                <w:szCs w:val="21"/>
                <w:lang w:bidi="ar"/>
              </w:rPr>
            </w:r>
          </w:p>
          <w:p>
            <w:pPr>
              <w:pStyle w:val="Normal"/>
              <w:rPr>
                <w:rFonts w:cs="微软雅黑" w:hint="eastAsia"/>
                <w:b/>
                <w:bCs/>
                <w:color w:val="000000"/>
                <w:szCs w:val="21"/>
                <w:lang w:bidi="ar"/>
              </w:rPr>
            </w:pPr>
            <w:r>
              <w:rPr>
                <w:rFonts w:cs="微软雅黑" w:hint="eastAsia"/>
                <w:b/>
                <w:bCs/>
                <w:color w:val="000000"/>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基础课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中国特色社会主义理论与实践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自然辩证法概论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学术规范和论文写作</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pPr>
            <w:r>
              <w:rPr>
                <w:rFonts w:cs="微软雅黑"/>
                <w:b w:val="false"/>
                <w:color w:val="000000"/>
                <w:sz w:val="21"/>
                <w:szCs w:val="21"/>
                <w:lang w:bidi="ar"/>
              </w:rPr>
            </w:r>
          </w:p>
          <w:p>
            <w:pPr>
              <w:pStyle w:val="Normal"/>
              <w:rPr>
                <w:rFonts w:cs="微软雅黑"/>
                <w:color w:val="000000"/>
                <w:szCs w:val="21"/>
                <w:lang w:bidi="ar"/>
              </w:rPr>
            </w:pPr>
            <w:r>
              <w:rPr>
                <w:rFonts w:cs="微软雅黑"/>
                <w:color w:val="000000"/>
                <w:szCs w:val="21"/>
                <w:lang w:bidi="ar"/>
              </w:rPr>
            </w:r>
          </w:p>
          <w:p>
            <w:pPr>
              <w:pStyle w:val="Normal"/>
              <w:rPr>
                <w:rFonts w:cs="微软雅黑" w:hint="eastAsia"/>
                <w:color w:val="000000"/>
                <w:szCs w:val="21"/>
                <w:lang w:bidi="ar"/>
              </w:rPr>
            </w:pPr>
            <w:r>
              <w:rPr>
                <w:rFonts w:cs="微软雅黑" w:hint="eastAsia"/>
                <w:color w:val="000000"/>
                <w:szCs w:val="21"/>
                <w:lang w:bidi="ar"/>
              </w:rPr>
              <w:t xml:space="preserve">   </w:t>
            </w:r>
          </w:p>
          <w:p>
            <w:pPr>
              <w:pStyle w:val="Normal"/>
              <w:rPr>
                <w:rFonts w:cs="微软雅黑" w:hint="eastAsia"/>
                <w:color w:val="000000"/>
                <w:szCs w:val="21"/>
                <w:lang w:bidi="ar"/>
              </w:rPr>
            </w:pPr>
            <w:r>
              <w:rPr>
                <w:rFonts w:cs="微软雅黑" w:hint="eastAsia"/>
                <w:color w:val="000000"/>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专业课</w:t>
            </w:r>
          </w:p>
        </w:tc>
        <w:tc>
          <w:tcPr>
            <w:tcW w:w="366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cs="微软雅黑"/>
                <w:color w:val="000000"/>
                <w:sz w:val="21"/>
                <w:szCs w:val="21"/>
                <w:lang w:bidi="ar"/>
              </w:rPr>
            </w:pPr>
            <w:r>
              <w:rPr>
                <w:rFonts w:cs="微软雅黑" w:hint="eastAsia"/>
                <w:color w:val="000000"/>
                <w:sz w:val="21"/>
                <w:szCs w:val="21"/>
                <w:lang w:bidi="ar"/>
              </w:rPr>
              <w:t>高级信息系统</w:t>
            </w:r>
          </w:p>
        </w:tc>
        <w:tc>
          <w:tcPr>
            <w:tcW w:w="3472"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cs="微软雅黑"/>
                <w:color w:val="000000"/>
                <w:sz w:val="21"/>
                <w:szCs w:val="21"/>
                <w:lang w:bidi="ar"/>
              </w:rPr>
            </w:pPr>
            <w:r>
              <w:rPr>
                <w:rFonts w:cs="微软雅黑" w:hint="eastAsia"/>
                <w:color w:val="000000"/>
                <w:sz w:val="21"/>
                <w:szCs w:val="21"/>
                <w:lang w:bidi="ar"/>
              </w:rPr>
              <w:t>IT</w:t>
            </w:r>
            <w:r>
              <w:rPr>
                <w:rFonts w:cs="微软雅黑" w:hint="eastAsia"/>
                <w:color w:val="000000"/>
                <w:sz w:val="21"/>
                <w:szCs w:val="21"/>
                <w:lang w:bidi="ar"/>
              </w:rPr>
              <w:t>项目管理</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CIO</w:t>
            </w:r>
            <w:r>
              <w:rPr>
                <w:rFonts w:cs="微软雅黑" w:hint="eastAsia"/>
                <w:b w:val="false"/>
                <w:color w:val="000000"/>
                <w:sz w:val="21"/>
                <w:szCs w:val="21"/>
                <w:lang w:bidi="ar"/>
              </w:rPr>
              <w:t>与</w:t>
            </w:r>
            <w:r>
              <w:rPr>
                <w:rFonts w:cs="微软雅黑" w:hint="eastAsia"/>
                <w:b w:val="false"/>
                <w:color w:val="000000"/>
                <w:sz w:val="21"/>
                <w:szCs w:val="21"/>
                <w:lang w:bidi="ar"/>
              </w:rPr>
              <w:t>IT</w:t>
            </w:r>
            <w:r>
              <w:rPr>
                <w:rFonts w:cs="微软雅黑" w:hint="eastAsia"/>
                <w:b w:val="false"/>
                <w:color w:val="000000"/>
                <w:sz w:val="21"/>
                <w:szCs w:val="21"/>
                <w:lang w:bidi="ar"/>
              </w:rPr>
              <w:t>治理</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管理研究方法论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现代统计方法</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社会网络分析</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博弈论与信息经济学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大数据推荐与决策</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cs="微软雅黑" w:hint="eastAsia"/>
                <w:b w:val="false"/>
                <w:color w:val="000000"/>
                <w:sz w:val="21"/>
                <w:szCs w:val="21"/>
                <w:lang w:bidi="ar"/>
              </w:rPr>
              <w:t>知识与创新管理</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cs="微软雅黑" w:hint="eastAsia"/>
                <w:b w:val="false"/>
                <w:color w:val="000000"/>
                <w:sz w:val="21"/>
                <w:szCs w:val="21"/>
                <w:lang w:bidi="ar"/>
              </w:rPr>
              <w:t>电子商务</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hint="eastAsia"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ascii="Calibri" w:hAnsi="Calibri" w:cs="Times New Roman" w:hint="eastAsia"/>
                <w:bCs/>
                <w:kern w:val="2"/>
                <w:sz w:val="21"/>
                <w:szCs w:val="21"/>
              </w:rPr>
            </w:pPr>
            <w:r>
              <w:rPr>
                <w:rFonts w:cs="微软雅黑" w:hint="eastAsia"/>
                <w:color w:val="000000"/>
                <w:sz w:val="21"/>
                <w:szCs w:val="21"/>
                <w:lang w:bidi="ar"/>
              </w:rPr>
              <w:t>高级管理学</w:t>
            </w:r>
          </w:p>
        </w:tc>
        <w:tc>
          <w:tcPr>
            <w:tcW w:w="3472"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ascii="Calibri" w:hAnsi="Calibri" w:cs="Times New Roman" w:hint="eastAsia"/>
                <w:bCs/>
                <w:kern w:val="2"/>
                <w:sz w:val="21"/>
                <w:szCs w:val="21"/>
              </w:rPr>
            </w:pPr>
            <w:r>
              <w:rPr>
                <w:rFonts w:cs="微软雅黑" w:hint="eastAsia"/>
                <w:color w:val="000000"/>
                <w:sz w:val="21"/>
                <w:szCs w:val="21"/>
                <w:lang w:bidi="ar"/>
              </w:rPr>
              <w:t>企业战略管理</w:t>
            </w:r>
          </w:p>
        </w:tc>
      </w:tr>
    </w:tbl>
    <w:p>
      <w:pPr>
        <w:pStyle w:val="Style21"/>
        <w:spacing w:lineRule="exact" w:line="500" w:before="100" w:after="100"/>
        <w:ind w:firstLineChars="1300" w:startChars="0" w:start="0" w:endChars="0" w:end="0"/>
        <w:contextualSpacing/>
        <w:rPr>
          <w:b/>
          <w:color w:val="C00000"/>
          <w:sz w:val="21"/>
          <w:szCs w:val="21"/>
        </w:rPr>
      </w:pPr>
      <w:r>
        <w:rPr>
          <w:rFonts w:hint="eastAsia"/>
          <w:sz w:val="21"/>
          <w:szCs w:val="21"/>
        </w:rPr>
        <w:t>注：具体课程参照实际教学</w:t>
      </w:r>
    </w:p>
    <w:p>
      <w:pPr>
        <w:pStyle w:val="Style21"/>
        <w:spacing w:lineRule="atLeast" w:line="450" w:before="0" w:after="0"/>
        <w:jc w:val="both"/>
        <w:rPr>
          <w:b/>
          <w:color w:val="C00000"/>
          <w:sz w:val="21"/>
          <w:szCs w:val="21"/>
        </w:rPr>
      </w:pPr>
      <w:r>
        <w:rPr>
          <w:b/>
          <w:color w:val="C00000"/>
          <w:sz w:val="21"/>
          <w:szCs w:val="21"/>
        </w:rPr>
      </w:r>
    </w:p>
    <w:p>
      <w:pPr>
        <w:pStyle w:val="Style21"/>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1"/>
        <w:spacing w:lineRule="atLeast" w:line="450" w:before="0" w:after="0"/>
        <w:ind w:firstLineChars="100" w:startChars="0" w:start="0" w:endChars="0" w:end="0"/>
        <w:rPr>
          <w:rFonts w:hint="eastAsia"/>
          <w:sz w:val="21"/>
          <w:szCs w:val="21"/>
        </w:rPr>
      </w:pPr>
      <w:r>
        <w:rPr>
          <w:rFonts w:hint="eastAsia"/>
          <w:sz w:val="21"/>
          <w:szCs w:val="21"/>
        </w:rPr>
        <w:t>本课程</w:t>
      </w:r>
      <w:r>
        <w:rPr>
          <w:sz w:val="21"/>
          <w:szCs w:val="21"/>
        </w:rPr>
        <w:t>采取课堂面授与线上直播教学相结合的方式，周末上课（法定节假日除外）。</w:t>
      </w:r>
    </w:p>
    <w:p>
      <w:pPr>
        <w:pStyle w:val="Style21"/>
        <w:spacing w:lineRule="atLeast" w:line="450" w:before="0" w:after="0"/>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五、学习期限</w:t>
      </w:r>
    </w:p>
    <w:p>
      <w:pPr>
        <w:pStyle w:val="Style21"/>
        <w:spacing w:lineRule="atLeast" w:line="450" w:before="0" w:after="0"/>
        <w:ind w:firstLineChars="100" w:startChars="0" w:start="0" w:endChars="0" w:end="0"/>
        <w:rPr>
          <w:rFonts w:hint="eastAsia"/>
          <w:sz w:val="21"/>
          <w:szCs w:val="21"/>
        </w:rPr>
      </w:pPr>
      <w:r>
        <w:rPr>
          <w:rFonts w:hint="eastAsia"/>
          <w:sz w:val="21"/>
          <w:szCs w:val="21"/>
        </w:rPr>
        <w:t>学习时间</w:t>
      </w:r>
      <w:r>
        <w:rPr>
          <w:rFonts w:hint="eastAsia"/>
          <w:sz w:val="21"/>
          <w:szCs w:val="21"/>
        </w:rPr>
        <w:t>1-1.5</w:t>
      </w:r>
      <w:r>
        <w:rPr>
          <w:rFonts w:hint="eastAsia"/>
          <w:sz w:val="21"/>
          <w:szCs w:val="21"/>
        </w:rPr>
        <w:t>年，从开班之日起算。</w:t>
      </w:r>
    </w:p>
    <w:p>
      <w:pPr>
        <w:pStyle w:val="Style21"/>
        <w:spacing w:lineRule="exact" w:line="500" w:before="100" w:after="100"/>
        <w:contextualSpacing/>
        <w:rPr>
          <w:sz w:val="21"/>
          <w:szCs w:val="21"/>
        </w:rPr>
      </w:pPr>
      <w:r>
        <w:rPr>
          <w:rFonts w:hint="eastAsia"/>
          <w:sz w:val="21"/>
          <w:szCs w:val="21"/>
        </w:rPr>
      </w:r>
    </w:p>
    <w:p>
      <w:pPr>
        <w:pStyle w:val="Style21"/>
        <w:numPr>
          <w:ilvl w:val="0"/>
          <w:numId w:val="3"/>
        </w:numPr>
        <w:spacing w:lineRule="exact" w:line="500" w:before="100" w:after="280"/>
        <w:rPr>
          <w:b/>
          <w:color w:val="C00000"/>
          <w:sz w:val="21"/>
          <w:szCs w:val="21"/>
        </w:rPr>
      </w:pPr>
      <w:r>
        <w:rPr>
          <w:b/>
          <w:color w:val="C00000"/>
          <w:sz w:val="21"/>
          <w:szCs w:val="21"/>
        </w:rPr>
        <w:t>报名条件</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1. </w:t>
      </w:r>
      <w:r>
        <w:rPr>
          <w:rFonts w:hint="eastAsia"/>
          <w:sz w:val="21"/>
          <w:szCs w:val="21"/>
        </w:rPr>
        <w:t>拥护《中华人民共和国宪法》，遵纪守法，品行端正，身体健康，并能坚持在职学习者。</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2. </w:t>
      </w:r>
      <w:r>
        <w:rPr>
          <w:sz w:val="21"/>
          <w:szCs w:val="21"/>
        </w:rPr>
        <w:t>大学专科及以上学历，旨在提高本人业务素质和综合能力，具有一定本专业工作基础及学习能力，经学院审核认可也可参加在职课程培训班的学习。</w:t>
      </w:r>
    </w:p>
    <w:p>
      <w:pPr>
        <w:pStyle w:val="Style21"/>
        <w:spacing w:lineRule="exact" w:line="500" w:before="100" w:after="100"/>
        <w:contextualSpacing/>
        <w:rPr>
          <w:rFonts w:hint="eastAsia"/>
          <w:sz w:val="21"/>
          <w:szCs w:val="21"/>
        </w:rPr>
      </w:pPr>
      <w:r>
        <w:rPr>
          <w:rFonts w:hint="eastAsia"/>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、核验本人身份证、最高学历证书和学位证书，学位认证报告；</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、填写课程培训班报名登记表。</w:t>
      </w:r>
    </w:p>
    <w:p>
      <w:pPr>
        <w:pStyle w:val="Style21"/>
        <w:spacing w:lineRule="exact" w:line="500" w:before="100" w:after="10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38000</w:t>
      </w:r>
      <w:r>
        <w:rPr>
          <w:rFonts w:hint="eastAsia"/>
          <w:sz w:val="21"/>
          <w:szCs w:val="21"/>
        </w:rPr>
        <w:t>元，书费、资料费自理，费用一次性交清。</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b/>
          <w:color w:val="C00000"/>
          <w:sz w:val="21"/>
          <w:szCs w:val="21"/>
        </w:rPr>
        <w:t>九、获取证书</w:t>
      </w:r>
    </w:p>
    <w:p>
      <w:pPr>
        <w:pStyle w:val="Style21"/>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颁发中国人民大学教育培训结业证书。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微软雅黑">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abstractNum w:abstractNumId="3">
    <w:lvl w:ilvl="0">
      <w:start w:val="6"/>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WW8Num3z0">
    <w:name w:val="WW8Num3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2026-12-27T22:21:00Z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46A99193B5B7418DB65126C7A704361B_13</vt:lpwstr>
  </property>
  <property fmtid="{D5CDD505-2E9C-101B-9397-08002B2CF9AE}" pid="3" name="KSOProductBuildVer">
    <vt:lpwstr>2052-12.1.0.16120</vt:lpwstr>
  </property>
</Properties>
</file>