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0"/>
        <w:snapToGrid w:val="false"/>
        <w:spacing w:lineRule="exact" w:line="500" w:before="0" w:after="100"/>
        <w:ind w:hangingChars="600" w:startChars="0" w:start="0" w:endChars="0" w:end="0"/>
        <w:rPr>
          <w:rFonts w:hint="eastAsia"/>
          <w:b/>
          <w:sz w:val="21"/>
          <w:szCs w:val="21"/>
          <w:lang w:val="zh-CN" w:eastAsia="zh-CN"/>
        </w:rPr>
      </w:pPr>
      <w:r>
        <w:drawing>
          <wp:anchor distT="0" distB="0" distL="114935" distR="114935" simplePos="0" relativeHeight="6" behindDoc="0" locked="0" layoutInCell="1" allowOverlap="1">
            <wp:simplePos x="0" y="0"/>
            <wp:positionH relativeFrom="column">
              <wp:posOffset>790575</wp:posOffset>
            </wp:positionH>
            <wp:positionV relativeFrom="paragraph">
              <wp:posOffset>-152400</wp:posOffset>
            </wp:positionV>
            <wp:extent cx="3457575" cy="10763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
                    <a:srcRect l="-5" t="-17" r="-5" b="-17"/>
                    <a:stretch>
                      <a:fillRect/>
                    </a:stretch>
                  </pic:blipFill>
                  <pic:spPr bwMode="auto">
                    <a:xfrm>
                      <a:off x="0" y="0"/>
                      <a:ext cx="3457575" cy="1076325"/>
                    </a:xfrm>
                    <a:prstGeom prst="rect">
                      <a:avLst/>
                    </a:prstGeom>
                    <a:noFill/>
                  </pic:spPr>
                </pic:pic>
              </a:graphicData>
            </a:graphic>
          </wp:anchor>
        </w:drawing>
      </w:r>
      <w:r>
        <w:rPr>
          <w:b/>
          <w:sz w:val="21"/>
          <w:szCs w:val="21"/>
        </w:rPr>
        <w:t>　</w:t>
      </w:r>
    </w:p>
    <w:p>
      <w:pPr>
        <w:pStyle w:val="Style20"/>
        <w:snapToGrid w:val="false"/>
        <w:spacing w:lineRule="exact" w:line="500" w:before="100" w:after="100"/>
        <w:ind w:hangingChars="600" w:startChars="0" w:start="0" w:endChars="0" w:end="0"/>
        <w:contextualSpacing/>
        <w:rPr>
          <w:rFonts w:hint="eastAsia"/>
          <w:b/>
          <w:sz w:val="21"/>
          <w:szCs w:val="21"/>
          <w:lang w:val="zh-CN" w:eastAsia="zh-CN"/>
        </w:rPr>
      </w:pPr>
      <w:r>
        <w:rPr>
          <w:rFonts w:hint="eastAsia"/>
          <w:b/>
          <w:sz w:val="21"/>
          <w:szCs w:val="21"/>
          <w:lang w:val="zh-CN" w:eastAsia="zh-CN"/>
        </w:rPr>
      </w:r>
    </w:p>
    <w:p>
      <w:pPr>
        <w:pStyle w:val="Style20"/>
        <w:tabs>
          <w:tab w:val="clear" w:pos="420"/>
          <w:tab w:val="left" w:pos="7530" w:leader="none"/>
        </w:tabs>
        <w:snapToGrid w:val="false"/>
        <w:spacing w:lineRule="exact" w:line="500" w:before="100" w:after="100"/>
        <w:ind w:hangingChars="600" w:startChars="0" w:start="0" w:endChars="0" w:end="0"/>
        <w:contextualSpacing/>
        <w:rPr>
          <w:rFonts w:hint="eastAsia"/>
          <w:b/>
          <w:sz w:val="21"/>
          <w:szCs w:val="21"/>
          <w:lang w:val="zh-CN" w:eastAsia="zh-CN"/>
        </w:rPr>
      </w:pPr>
      <w:r>
        <w:rPr>
          <w:b/>
          <w:sz w:val="21"/>
          <w:szCs w:val="21"/>
          <w:lang w:val="zh-CN" w:eastAsia="zh-CN"/>
        </w:rPr>
        <w:tab/>
      </w:r>
    </w:p>
    <w:p>
      <w:pPr>
        <w:pStyle w:val="Heading5"/>
        <w:keepNext w:val="false"/>
        <w:keepLines w:val="false"/>
        <w:widowControl/>
        <w:suppressLineNumbers w:val="0"/>
        <w:ind w:hangingChars="1000" w:startChars="0" w:start="0" w:endChars="0" w:end="0"/>
        <w:rPr>
          <w:b w:val="false"/>
          <w:sz w:val="30"/>
          <w:szCs w:val="30"/>
        </w:rPr>
      </w:pPr>
      <w:r>
        <w:rPr>
          <w:rFonts w:hint="eastAsia"/>
          <w:b/>
          <w:bCs w:val="false"/>
          <w:sz w:val="30"/>
          <w:szCs w:val="30"/>
        </w:rPr>
        <w:t>2026</w:t>
      </w:r>
      <w:r>
        <w:rPr>
          <w:b/>
          <w:bCs w:val="false"/>
          <w:sz w:val="30"/>
          <w:szCs w:val="30"/>
        </w:rPr>
        <w:t>年中国人民大学</w:t>
      </w:r>
      <w:r>
        <w:rPr>
          <w:rFonts w:hint="eastAsia"/>
          <w:b/>
          <w:bCs w:val="false"/>
          <w:sz w:val="30"/>
          <w:szCs w:val="30"/>
        </w:rPr>
        <w:t>艺术学</w:t>
      </w:r>
      <w:r>
        <w:rPr>
          <w:b/>
          <w:bCs w:val="false"/>
          <w:sz w:val="30"/>
          <w:szCs w:val="30"/>
        </w:rPr>
        <w:t>专业（艺术创作与评论研究（美术）方向）在职课程培训班</w:t>
      </w:r>
    </w:p>
    <w:p>
      <w:pPr>
        <w:pStyle w:val="Style20"/>
        <w:spacing w:lineRule="exact" w:line="500" w:before="100" w:after="100"/>
        <w:contextualSpacing/>
        <w:rPr>
          <w:sz w:val="21"/>
          <w:szCs w:val="21"/>
        </w:rPr>
      </w:pPr>
      <w:r>
        <mc:AlternateContent>
          <mc:Choice Requires="wps">
            <w:drawing>
              <wp:anchor distT="0" distB="0" distL="114935" distR="114935" simplePos="0" relativeHeight="5" behindDoc="0" locked="0" layoutInCell="1" allowOverlap="1">
                <wp:simplePos x="0" y="0"/>
                <wp:positionH relativeFrom="column">
                  <wp:posOffset>9525</wp:posOffset>
                </wp:positionH>
                <wp:positionV relativeFrom="paragraph">
                  <wp:posOffset>203200</wp:posOffset>
                </wp:positionV>
                <wp:extent cx="5477510" cy="1270"/>
                <wp:effectExtent l="635" t="3175" r="635" b="3175"/>
                <wp:wrapNone/>
                <wp:docPr id="2" name="自选图形 6"/>
                <a:graphic xmlns:a="http://schemas.openxmlformats.org/drawingml/2006/main">
                  <a:graphicData uri="http://schemas.microsoft.com/office/word/2010/wordprocessingShape">
                    <wps:wsp>
                      <wps:cNvCnPr/>
                      <wps:spPr>
                        <a:xfrm>
                          <a:off x="0" y="0"/>
                          <a:ext cx="5478120" cy="1800"/>
                        </a:xfrm>
                        <a:prstGeom prst="straightConnector1">
                          <a:avLst/>
                        </a:prstGeom>
                        <a:ln w="6480">
                          <a:solidFill>
                            <a:srgbClr val="C00000"/>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0.75pt;margin-top:16pt;width:431.3pt;height:0.1pt" type="_x0000_t32">
                <v:stroke color="#c00000" weight="6480" joinstyle="miter" endcap="flat"/>
                <v:fill o:detectmouseclick="t" on="false"/>
                <w10:wrap type="none"/>
              </v:shape>
            </w:pict>
          </mc:Fallback>
        </mc:AlternateContent>
      </w:r>
      <w:r>
        <w:rPr>
          <w:sz w:val="21"/>
          <w:szCs w:val="21"/>
        </w:rPr>
        <w:t>　　</w:t>
      </w:r>
    </w:p>
    <w:p>
      <w:pPr>
        <w:pStyle w:val="Style20"/>
        <w:spacing w:lineRule="exact" w:line="500" w:before="100" w:after="100"/>
        <w:contextualSpacing/>
        <w:rPr>
          <w:sz w:val="21"/>
          <w:szCs w:val="21"/>
        </w:rPr>
      </w:pPr>
      <w:r>
        <w:rPr>
          <w:sz w:val="21"/>
          <w:szCs w:val="21"/>
        </w:rPr>
        <w:t>培训类别：</w:t>
      </w:r>
      <w:r>
        <w:rPr>
          <w:color w:val="C00000"/>
          <w:sz w:val="21"/>
          <w:szCs w:val="21"/>
        </w:rPr>
        <w:t>课程班</w:t>
      </w:r>
      <w:r>
        <w:rPr>
          <w:color w:val="C00000"/>
          <w:sz w:val="21"/>
          <w:szCs w:val="21"/>
        </w:rPr>
        <w:t>[</w:t>
      </w:r>
      <w:r>
        <w:rPr>
          <w:rFonts w:hint="eastAsia"/>
          <w:color w:val="C00000"/>
          <w:sz w:val="21"/>
          <w:szCs w:val="21"/>
        </w:rPr>
        <w:t>人文</w:t>
      </w:r>
      <w:r>
        <w:rPr>
          <w:color w:val="C00000"/>
          <w:sz w:val="21"/>
          <w:szCs w:val="21"/>
        </w:rPr>
        <w:t>]</w:t>
      </w:r>
      <w:r>
        <w:rPr>
          <w:sz w:val="21"/>
          <w:szCs w:val="21"/>
        </w:rPr>
        <w:t xml:space="preserve">      </w:t>
      </w:r>
      <w:r>
        <w:rPr>
          <w:sz w:val="21"/>
          <w:szCs w:val="21"/>
        </w:rPr>
        <w:t>培训费：</w:t>
      </w:r>
      <w:r>
        <w:rPr>
          <w:rFonts w:hint="eastAsia"/>
          <w:color w:val="C00000"/>
          <w:sz w:val="21"/>
          <w:szCs w:val="21"/>
        </w:rPr>
        <w:t>448</w:t>
      </w:r>
      <w:r>
        <w:rPr>
          <w:color w:val="C00000"/>
          <w:sz w:val="21"/>
          <w:szCs w:val="21"/>
        </w:rPr>
        <w:t>00.00</w:t>
      </w:r>
      <w:r>
        <w:rPr>
          <w:color w:val="C00000"/>
          <w:sz w:val="21"/>
          <w:szCs w:val="21"/>
        </w:rPr>
        <w:t xml:space="preserve">元 </w:t>
      </w:r>
      <w:r>
        <w:rPr>
          <w:sz w:val="21"/>
          <w:szCs w:val="21"/>
        </w:rPr>
        <w:t xml:space="preserve">    主办单位：</w:t>
      </w:r>
      <w:r>
        <w:rPr>
          <w:rFonts w:hint="eastAsia"/>
          <w:color w:val="C00000"/>
          <w:sz w:val="21"/>
          <w:szCs w:val="21"/>
        </w:rPr>
        <w:t>艺术</w:t>
      </w:r>
      <w:r>
        <w:rPr>
          <w:color w:val="C00000"/>
          <w:sz w:val="21"/>
          <w:szCs w:val="21"/>
        </w:rPr>
        <w:t>学院</w:t>
      </w:r>
    </w:p>
    <w:p>
      <w:pPr>
        <w:pStyle w:val="Normal"/>
        <w:spacing w:lineRule="exact" w:line="500"/>
        <w:ind w:firstLineChars="200" w:startChars="0" w:start="0" w:endChars="0" w:end="0"/>
        <w:rPr>
          <w:rFonts w:ascii="宋体" w:hAnsi="宋体" w:cs="宋体"/>
          <w:szCs w:val="21"/>
        </w:rPr>
      </w:pPr>
      <w:r>
        <w:rPr>
          <w:rFonts w:ascii="宋体" w:hAnsi="宋体" w:cs="宋体" w:hint="eastAsia"/>
          <w:szCs w:val="21"/>
        </w:rPr>
        <w:t>中国人民大学是一所以人文社会科学为主的综合性研究型全国重点大学。学校是国家“</w:t>
      </w:r>
      <w:r>
        <w:rPr>
          <w:rFonts w:cs="宋体" w:hint="eastAsia" w:ascii="宋体" w:hAnsi="宋体"/>
          <w:szCs w:val="21"/>
        </w:rPr>
        <w:t>985</w:t>
      </w:r>
      <w:r>
        <w:rPr>
          <w:rFonts w:ascii="宋体" w:hAnsi="宋体" w:cs="宋体" w:hint="eastAsia"/>
          <w:szCs w:val="21"/>
        </w:rPr>
        <w:t>工程”和“</w:t>
      </w:r>
      <w:r>
        <w:rPr>
          <w:rFonts w:cs="宋体" w:hint="eastAsia" w:ascii="宋体" w:hAnsi="宋体"/>
          <w:szCs w:val="21"/>
        </w:rPr>
        <w:t>211</w:t>
      </w:r>
      <w:r>
        <w:rPr>
          <w:rFonts w:ascii="宋体" w:hAnsi="宋体" w:cs="宋体" w:hint="eastAsia"/>
          <w:szCs w:val="21"/>
        </w:rPr>
        <w:t>工程”重点建设的大学之一，在长期办学实践中成绩显著被誉为“我国人文社会科学高等教育领域的一面旗帜”。</w:t>
      </w:r>
    </w:p>
    <w:p>
      <w:pPr>
        <w:pStyle w:val="Style20"/>
        <w:spacing w:lineRule="exact" w:line="500" w:before="100" w:after="100"/>
        <w:contextualSpacing/>
        <w:rPr>
          <w:b/>
          <w:color w:val="C00000"/>
          <w:sz w:val="21"/>
          <w:szCs w:val="21"/>
        </w:rPr>
      </w:pPr>
      <w:r>
        <w:rPr>
          <w:b/>
          <w:color w:val="C00000"/>
          <w:sz w:val="21"/>
          <w:szCs w:val="21"/>
        </w:rPr>
        <w:t>一、学院及专业优势简介</w:t>
      </w:r>
    </w:p>
    <w:p>
      <w:pPr>
        <w:pStyle w:val="Style20"/>
        <w:spacing w:lineRule="exact" w:line="500" w:before="100" w:after="100"/>
        <w:ind w:firstLineChars="200" w:startChars="0" w:start="0" w:endChars="0" w:end="0"/>
        <w:contextualSpacing/>
        <w:rPr>
          <w:sz w:val="21"/>
          <w:szCs w:val="21"/>
        </w:rPr>
      </w:pPr>
      <w:r>
        <w:rPr>
          <w:sz w:val="21"/>
          <w:szCs w:val="21"/>
        </w:rPr>
        <w:t>习总书记在文艺座谈会上指出：文艺是时代前进的号角，最能代表一个时代的风貌，最能引领一个时代的风气。文艺创作不仅要有当代生活的底蕴，而且要有文化传统的血脉。“求木之长者，必固其根本；欲流之远者，必浚其泉源。”追求真善美是文艺的永恒价值。艺术的最高境界就是让人动心，让人们的灵魂经受洗礼，让人们发现自然的美、生活的美、心灵的美。为推动我国书画艺术事业的繁荣发展，满足广大美术工作者对专业水平进一步提高的客观需求。</w:t>
      </w:r>
    </w:p>
    <w:p>
      <w:pPr>
        <w:pStyle w:val="Style20"/>
        <w:spacing w:lineRule="exact" w:line="500" w:before="100" w:after="100"/>
        <w:ind w:firstLineChars="200" w:startChars="0" w:start="0" w:endChars="0" w:end="0"/>
        <w:contextualSpacing/>
        <w:rPr>
          <w:sz w:val="21"/>
          <w:szCs w:val="21"/>
        </w:rPr>
      </w:pPr>
      <w:r>
        <w:rPr>
          <w:sz w:val="21"/>
          <w:szCs w:val="21"/>
        </w:rPr>
        <w:t>天下英才，汇聚人大，本班为广大美术工作者提供一个提升的机会，也将为书画艺术领域相关人士提供一个相互合作、激活思想、开拓创新的学习交流平台。</w:t>
      </w:r>
    </w:p>
    <w:p>
      <w:pPr>
        <w:pStyle w:val="Style20"/>
        <w:spacing w:lineRule="exact" w:line="500" w:before="100" w:after="100"/>
        <w:ind w:firstLineChars="200" w:startChars="0" w:start="0" w:endChars="0" w:end="0"/>
        <w:contextualSpacing/>
        <w:rPr>
          <w:sz w:val="21"/>
          <w:szCs w:val="21"/>
        </w:rPr>
      </w:pPr>
      <w:r>
        <w:rPr>
          <w:sz w:val="21"/>
          <w:szCs w:val="21"/>
        </w:rPr>
        <w:t>旨在推动我国文化艺术事业大发展、大繁荣，发扬中西方优秀文化传统，提高书画艺术人才的创新能力。通过学习，使学员作品更富原创性，更具文化内涵，兼具艺术审美价值及精神体验价值。通过学习，使学员具备将深刻文化意涵及创新性融入到艺术实践的能力。</w:t>
      </w:r>
    </w:p>
    <w:p>
      <w:pPr>
        <w:pStyle w:val="Style20"/>
        <w:spacing w:lineRule="atLeast" w:line="500" w:before="0" w:after="0"/>
        <w:jc w:val="both"/>
        <w:rPr>
          <w:rFonts w:hint="eastAsia"/>
          <w:kern w:val="2"/>
          <w:sz w:val="21"/>
          <w:szCs w:val="21"/>
        </w:rPr>
      </w:pPr>
      <w:r>
        <w:rPr>
          <w:rFonts w:hint="eastAsia"/>
          <w:kern w:val="2"/>
          <w:sz w:val="21"/>
          <w:szCs w:val="21"/>
        </w:rPr>
      </w:r>
    </w:p>
    <w:p>
      <w:pPr>
        <w:pStyle w:val="Style20"/>
        <w:spacing w:lineRule="exact" w:line="500" w:before="100" w:after="100"/>
        <w:contextualSpacing/>
        <w:rPr>
          <w:b/>
          <w:color w:val="C00000"/>
          <w:sz w:val="21"/>
          <w:szCs w:val="21"/>
        </w:rPr>
      </w:pPr>
      <w:r>
        <w:rPr>
          <w:b/>
          <w:color w:val="C00000"/>
          <w:sz w:val="21"/>
          <w:szCs w:val="21"/>
        </w:rPr>
        <w:t>二、培养目标</w:t>
      </w:r>
    </w:p>
    <w:p>
      <w:pPr>
        <w:pStyle w:val="Style20"/>
        <w:spacing w:lineRule="exact" w:line="500" w:before="100" w:after="100"/>
        <w:ind w:firstLine="420" w:end="0"/>
        <w:contextualSpacing/>
        <w:rPr>
          <w:rFonts w:hint="eastAsia"/>
          <w:sz w:val="21"/>
          <w:szCs w:val="21"/>
        </w:rPr>
      </w:pPr>
      <w:r>
        <w:rPr>
          <w:rFonts w:hint="eastAsia"/>
          <w:sz w:val="21"/>
          <w:szCs w:val="21"/>
        </w:rPr>
        <w:t>本专业主要通过将理论与实践、文化与技艺、专业与跨界相融合，以原创性和唯一性为旨要，以中国传统文化与现代文化为体现。以大文化观为指导，以大创意思想贯穿课程，为了更好地服务社会，满足文化创意产业对相关领域人才的需求，培养具有文化产业管理能力和策划力、思辨力、艺术想象力及实战能力的高级文化产业策划、管理人才。</w:t>
      </w:r>
    </w:p>
    <w:p>
      <w:pPr>
        <w:pStyle w:val="Style20"/>
        <w:spacing w:lineRule="exact" w:line="500" w:before="100" w:after="100"/>
        <w:ind w:firstLine="420" w:end="0"/>
        <w:contextualSpacing/>
        <w:rPr>
          <w:sz w:val="21"/>
          <w:szCs w:val="21"/>
        </w:rPr>
      </w:pPr>
      <w:r>
        <w:rPr>
          <w:rFonts w:hint="eastAsia"/>
          <w:sz w:val="21"/>
          <w:szCs w:val="21"/>
        </w:rPr>
      </w:r>
    </w:p>
    <w:p>
      <w:pPr>
        <w:pStyle w:val="Style20"/>
        <w:spacing w:lineRule="exact" w:line="500" w:before="100" w:after="100"/>
        <w:contextualSpacing/>
        <w:rPr>
          <w:rFonts w:hint="eastAsia"/>
          <w:b/>
          <w:color w:val="C00000"/>
          <w:sz w:val="21"/>
          <w:szCs w:val="21"/>
        </w:rPr>
      </w:pPr>
      <w:r>
        <w:rPr>
          <w:rFonts w:hint="eastAsia"/>
          <w:b/>
          <w:color w:val="C00000"/>
          <w:sz w:val="21"/>
          <w:szCs w:val="21"/>
        </w:rPr>
        <w:t>三、课程安排</w:t>
      </w:r>
    </w:p>
    <w:tbl>
      <w:tblPr>
        <w:tblW w:w="8521" w:type="dxa"/>
        <w:jc w:val="start"/>
        <w:tblInd w:w="0" w:type="dxa"/>
        <w:tblLayout w:type="fixed"/>
        <w:tblCellMar>
          <w:top w:w="0" w:type="dxa"/>
          <w:start w:w="108" w:type="dxa"/>
          <w:bottom w:w="0" w:type="dxa"/>
          <w:end w:w="108" w:type="dxa"/>
        </w:tblCellMar>
      </w:tblPr>
      <w:tblGrid>
        <w:gridCol w:w="1389"/>
        <w:gridCol w:w="3660"/>
        <w:gridCol w:w="3472"/>
      </w:tblGrid>
      <w:tr>
        <w:trPr>
          <w:trHeight w:val="567" w:hRule="atLeast"/>
        </w:trPr>
        <w:tc>
          <w:tcPr>
            <w:tcW w:w="8521" w:type="dxa"/>
            <w:gridSpan w:val="3"/>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Cs/>
                <w:color w:val="000000"/>
                <w:sz w:val="21"/>
                <w:szCs w:val="21"/>
                <w:lang w:bidi="ar"/>
              </w:rPr>
              <w:t>艺术学专业</w:t>
            </w:r>
            <w:r>
              <w:rPr>
                <w:rFonts w:cs="宋体" w:hint="eastAsia"/>
                <w:kern w:val="2"/>
                <w:sz w:val="21"/>
                <w:szCs w:val="21"/>
              </w:rPr>
              <w:t>艺术创作与评论研究（美术）</w:t>
            </w:r>
            <w:r>
              <w:rPr>
                <w:rFonts w:cs="微软雅黑" w:hint="eastAsia"/>
                <w:bCs/>
                <w:color w:val="000000"/>
                <w:sz w:val="21"/>
                <w:szCs w:val="21"/>
                <w:lang w:bidi="ar"/>
              </w:rPr>
              <w:t>课程设置</w:t>
            </w:r>
          </w:p>
        </w:tc>
      </w:tr>
      <w:tr>
        <w:trPr>
          <w:trHeight w:val="567" w:hRule="atLeast"/>
        </w:trPr>
        <w:tc>
          <w:tcPr>
            <w:tcW w:w="1389" w:type="dxa"/>
            <w:vMerge w:val="restart"/>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jc w:val="center"/>
              <w:rPr>
                <w:rFonts w:hint="eastAsia"/>
              </w:rPr>
            </w:pPr>
            <w:r>
              <w:rPr>
                <w:rFonts w:cs="微软雅黑" w:hint="eastAsia"/>
                <w:b w:val="false"/>
                <w:color w:val="000000"/>
                <w:sz w:val="21"/>
                <w:szCs w:val="21"/>
                <w:lang w:bidi="ar"/>
              </w:rPr>
            </w:r>
          </w:p>
          <w:p>
            <w:pPr>
              <w:pStyle w:val="Normal"/>
              <w:ind w:firstLineChars="100" w:startChars="0" w:start="0" w:endChars="0" w:end="0"/>
              <w:rPr>
                <w:rFonts w:cs="微软雅黑"/>
                <w:color w:val="000000"/>
                <w:szCs w:val="21"/>
                <w:lang w:bidi="ar"/>
              </w:rPr>
            </w:pPr>
            <w:r>
              <w:rPr>
                <w:rFonts w:cs="微软雅黑" w:hint="eastAsia"/>
                <w:b/>
                <w:bCs/>
                <w:color w:val="000000"/>
                <w:szCs w:val="21"/>
                <w:lang w:bidi="ar"/>
              </w:rPr>
              <w:t>基础课</w:t>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sz w:val="21"/>
                <w:szCs w:val="21"/>
                <w:lang w:bidi="ar"/>
              </w:rPr>
            </w:pPr>
            <w:r>
              <w:rPr>
                <w:rFonts w:ascii="Calibri" w:hAnsi="Calibri" w:cs="Calibri" w:hint="eastAsia"/>
                <w:b w:val="false"/>
                <w:bCs/>
                <w:kern w:val="2"/>
                <w:sz w:val="21"/>
                <w:szCs w:val="21"/>
              </w:rPr>
              <w:t>新时代中国特色社会主义理论与实践</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sz w:val="21"/>
                <w:szCs w:val="21"/>
                <w:lang w:bidi="ar"/>
              </w:rPr>
            </w:pPr>
            <w:r>
              <w:rPr>
                <w:rFonts w:ascii="Calibri" w:hAnsi="Calibri" w:cs="Calibri" w:hint="eastAsia"/>
                <w:b w:val="false"/>
                <w:bCs/>
                <w:kern w:val="2"/>
                <w:sz w:val="21"/>
                <w:szCs w:val="21"/>
              </w:rPr>
              <w:t>自然辩证法概论</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sz w:val="21"/>
                <w:szCs w:val="21"/>
                <w:lang w:bidi="ar"/>
              </w:rPr>
            </w:pPr>
            <w:r>
              <w:rPr>
                <w:rFonts w:ascii="Calibri" w:hAnsi="Calibri" w:cs="Calibri" w:hint="eastAsia"/>
                <w:b w:val="false"/>
                <w:bCs/>
                <w:kern w:val="2"/>
                <w:sz w:val="21"/>
                <w:szCs w:val="21"/>
              </w:rPr>
              <w:t>语言基础</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sz w:val="21"/>
                <w:szCs w:val="21"/>
                <w:lang w:bidi="ar"/>
              </w:rPr>
            </w:pPr>
            <w:r>
              <w:rPr>
                <w:rFonts w:ascii="Calibri" w:hAnsi="Calibri" w:cs="Calibri" w:hint="eastAsia"/>
                <w:b w:val="false"/>
                <w:bCs/>
                <w:kern w:val="2"/>
                <w:sz w:val="21"/>
                <w:szCs w:val="21"/>
              </w:rPr>
              <w:t>学术规范与论文写作</w:t>
            </w:r>
          </w:p>
        </w:tc>
      </w:tr>
      <w:tr>
        <w:trPr>
          <w:trHeight w:val="567" w:hRule="atLeast"/>
        </w:trPr>
        <w:tc>
          <w:tcPr>
            <w:tcW w:w="1389" w:type="dxa"/>
            <w:vMerge w:val="restart"/>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jc w:val="center"/>
              <w:rPr/>
            </w:pPr>
            <w:r>
              <w:rPr>
                <w:rFonts w:cs="微软雅黑"/>
                <w:b w:val="false"/>
                <w:sz w:val="21"/>
                <w:szCs w:val="21"/>
                <w:lang w:bidi="ar"/>
              </w:rPr>
            </w:r>
          </w:p>
          <w:p>
            <w:pPr>
              <w:pStyle w:val="Normal"/>
              <w:rPr>
                <w:rFonts w:cs="微软雅黑"/>
                <w:color w:val="000000"/>
                <w:szCs w:val="21"/>
                <w:lang w:bidi="ar"/>
              </w:rPr>
            </w:pPr>
            <w:r>
              <w:rPr>
                <w:rFonts w:cs="微软雅黑"/>
                <w:color w:val="000000"/>
                <w:szCs w:val="21"/>
                <w:lang w:bidi="ar"/>
              </w:rPr>
            </w:r>
          </w:p>
          <w:p>
            <w:pPr>
              <w:pStyle w:val="Normal"/>
              <w:rPr>
                <w:rFonts w:cs="微软雅黑"/>
                <w:color w:val="000000"/>
                <w:szCs w:val="21"/>
                <w:lang w:bidi="ar"/>
              </w:rPr>
            </w:pPr>
            <w:r>
              <w:rPr>
                <w:rFonts w:cs="微软雅黑" w:hint="eastAsia"/>
                <w:color w:val="000000"/>
                <w:szCs w:val="21"/>
                <w:lang w:bidi="ar"/>
              </w:rPr>
              <w:t xml:space="preserve">  </w:t>
            </w:r>
            <w:r>
              <w:rPr>
                <w:rFonts w:cs="微软雅黑" w:hint="eastAsia"/>
                <w:b/>
                <w:bCs/>
                <w:color w:val="000000"/>
                <w:szCs w:val="21"/>
                <w:lang w:bidi="ar"/>
              </w:rPr>
              <w:t>专业课</w:t>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hint="eastAsia"/>
                <w:b w:val="false"/>
                <w:bCs/>
                <w:kern w:val="2"/>
                <w:sz w:val="21"/>
                <w:szCs w:val="21"/>
              </w:rPr>
              <w:t>艺术哲学</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hint="eastAsia"/>
                <w:b w:val="false"/>
                <w:bCs/>
                <w:kern w:val="2"/>
                <w:sz w:val="21"/>
                <w:szCs w:val="21"/>
              </w:rPr>
              <w:t>习近平关于教育重要论述研究</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ascii="Calibri" w:hAnsi="Calibri"/>
                <w:b w:val="false"/>
                <w:bCs/>
                <w:color w:val="000000"/>
                <w:kern w:val="2"/>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hint="eastAsia"/>
                <w:b w:val="false"/>
                <w:bCs/>
                <w:kern w:val="2"/>
                <w:sz w:val="21"/>
                <w:szCs w:val="21"/>
              </w:rPr>
              <w:t>艺术理论</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b w:val="false"/>
                <w:bCs/>
                <w:kern w:val="2"/>
                <w:sz w:val="21"/>
                <w:szCs w:val="21"/>
              </w:rPr>
              <w:t>中国共产党历史专题</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ascii="Calibri" w:hAnsi="Calibri"/>
                <w:b w:val="false"/>
                <w:bCs/>
                <w:color w:val="000000"/>
                <w:kern w:val="2"/>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hint="eastAsia"/>
                <w:b w:val="false"/>
                <w:bCs/>
                <w:kern w:val="2"/>
                <w:sz w:val="21"/>
                <w:szCs w:val="21"/>
              </w:rPr>
              <w:t>中华优秀传统文化概论</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jc w:val="center"/>
              <w:rPr>
                <w:rFonts w:ascii="Calibri" w:hAnsi="Calibri" w:cs="Calibri"/>
                <w:b w:val="false"/>
                <w:bCs/>
                <w:kern w:val="2"/>
                <w:sz w:val="21"/>
                <w:szCs w:val="21"/>
              </w:rPr>
            </w:pPr>
            <w:r>
              <w:rPr>
                <w:rFonts w:cs="Calibri" w:ascii="Calibri" w:hAnsi="Calibri"/>
                <w:b w:val="false"/>
                <w:bCs/>
                <w:kern w:val="2"/>
                <w:sz w:val="21"/>
                <w:szCs w:val="21"/>
              </w:rPr>
            </w:r>
          </w:p>
        </w:tc>
      </w:tr>
      <w:tr>
        <w:trPr>
          <w:trHeight w:val="567" w:hRule="atLeast"/>
        </w:trPr>
        <w:tc>
          <w:tcPr>
            <w:tcW w:w="1389" w:type="dxa"/>
            <w:vMerge w:val="restart"/>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Cs/>
                <w:color w:val="000000"/>
                <w:sz w:val="21"/>
                <w:szCs w:val="21"/>
                <w:lang w:bidi="ar"/>
              </w:rPr>
              <w:t>艺术创作与评论研究（美术）研究方向</w:t>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hint="eastAsia"/>
                <w:b w:val="false"/>
                <w:bCs/>
                <w:kern w:val="2"/>
                <w:sz w:val="21"/>
                <w:szCs w:val="21"/>
              </w:rPr>
              <w:t>构成研究</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hint="eastAsia"/>
                <w:b w:val="false"/>
                <w:bCs/>
                <w:kern w:val="2"/>
                <w:sz w:val="21"/>
                <w:szCs w:val="21"/>
              </w:rPr>
              <w:t>造型与色彩研究</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ascii="Calibri" w:hAnsi="Calibri"/>
                <w:b w:val="false"/>
                <w:bCs/>
                <w:color w:val="000000"/>
                <w:kern w:val="2"/>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hint="eastAsia"/>
                <w:b w:val="false"/>
                <w:bCs/>
                <w:kern w:val="2"/>
                <w:sz w:val="21"/>
                <w:szCs w:val="21"/>
              </w:rPr>
              <w:t>油画传统语言的现代化转换</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hint="eastAsia"/>
                <w:b w:val="false"/>
                <w:bCs/>
                <w:kern w:val="2"/>
                <w:sz w:val="21"/>
                <w:szCs w:val="21"/>
              </w:rPr>
              <w:t>水墨语言研究</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ascii="Calibri" w:hAnsi="Calibri"/>
                <w:b w:val="false"/>
                <w:bCs/>
                <w:color w:val="000000"/>
                <w:kern w:val="2"/>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hint="eastAsia"/>
                <w:b w:val="false"/>
                <w:bCs/>
                <w:kern w:val="2"/>
                <w:sz w:val="21"/>
                <w:szCs w:val="21"/>
              </w:rPr>
            </w:pPr>
            <w:r>
              <w:rPr>
                <w:rFonts w:ascii="Calibri" w:hAnsi="Calibri" w:cs="Calibri" w:hint="eastAsia"/>
                <w:b w:val="false"/>
                <w:bCs/>
                <w:kern w:val="2"/>
                <w:sz w:val="21"/>
                <w:szCs w:val="21"/>
              </w:rPr>
              <w:t>黑白语言研究</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hint="eastAsia"/>
                <w:b w:val="false"/>
                <w:bCs/>
                <w:kern w:val="2"/>
                <w:sz w:val="21"/>
                <w:szCs w:val="21"/>
              </w:rPr>
            </w:pPr>
            <w:r>
              <w:rPr>
                <w:rFonts w:ascii="Calibri" w:hAnsi="Calibri" w:cs="Calibri" w:hint="eastAsia"/>
                <w:b w:val="false"/>
                <w:bCs/>
                <w:kern w:val="2"/>
                <w:sz w:val="21"/>
                <w:szCs w:val="21"/>
              </w:rPr>
              <w:t>范式与观念研究</w:t>
            </w:r>
          </w:p>
        </w:tc>
      </w:tr>
    </w:tbl>
    <w:p>
      <w:pPr>
        <w:pStyle w:val="Style20"/>
        <w:spacing w:lineRule="exact" w:line="500" w:before="100" w:after="100"/>
        <w:ind w:firstLineChars="1300" w:startChars="0" w:start="0" w:endChars="0" w:end="0"/>
        <w:contextualSpacing/>
        <w:rPr>
          <w:rFonts w:ascii="Calibri" w:hAnsi="Calibri" w:cs="Times New Roman" w:hint="eastAsia"/>
          <w:bCs/>
          <w:kern w:val="2"/>
          <w:sz w:val="21"/>
          <w:szCs w:val="21"/>
        </w:rPr>
      </w:pPr>
      <w:r>
        <w:rPr>
          <w:rFonts w:hint="eastAsia"/>
          <w:sz w:val="21"/>
          <w:szCs w:val="21"/>
        </w:rPr>
        <w:t>注：具体课程参照实际教学</w:t>
      </w:r>
      <w:r>
        <w:rPr>
          <w:rFonts w:ascii="Calibri" w:hAnsi="Calibri" w:cs="Times New Roman" w:hint="eastAsia"/>
          <w:bCs/>
          <w:kern w:val="2"/>
          <w:sz w:val="21"/>
          <w:szCs w:val="21"/>
        </w:rPr>
        <w:t> </w:t>
      </w:r>
    </w:p>
    <w:p>
      <w:pPr>
        <w:pStyle w:val="Style20"/>
        <w:spacing w:lineRule="exact" w:line="500" w:before="100" w:after="100"/>
        <w:ind w:firstLineChars="1300" w:startChars="0" w:start="0" w:endChars="0" w:end="0"/>
        <w:contextualSpacing/>
        <w:rPr>
          <w:rFonts w:ascii="Calibri" w:hAnsi="Calibri" w:cs="Times New Roman" w:hint="eastAsia"/>
          <w:bCs/>
          <w:kern w:val="2"/>
          <w:sz w:val="21"/>
          <w:szCs w:val="21"/>
        </w:rPr>
      </w:pPr>
      <w:r>
        <w:rPr>
          <w:rFonts w:cs="Times New Roman" w:hint="eastAsia" w:ascii="Calibri" w:hAnsi="Calibri"/>
          <w:bCs/>
          <w:kern w:val="2"/>
          <w:sz w:val="21"/>
          <w:szCs w:val="21"/>
        </w:rPr>
      </w:r>
    </w:p>
    <w:p>
      <w:pPr>
        <w:pStyle w:val="Style20"/>
        <w:spacing w:lineRule="exact" w:line="500" w:before="100" w:after="100"/>
        <w:contextualSpacing/>
        <w:rPr>
          <w:b/>
          <w:color w:val="C00000"/>
          <w:sz w:val="21"/>
          <w:szCs w:val="21"/>
        </w:rPr>
      </w:pPr>
      <w:r>
        <w:rPr>
          <w:b/>
          <w:color w:val="C00000"/>
          <w:sz w:val="21"/>
          <w:szCs w:val="21"/>
        </w:rPr>
        <w:t>四、</w:t>
      </w:r>
      <w:r>
        <w:rPr>
          <w:rFonts w:hint="eastAsia"/>
          <w:b/>
          <w:color w:val="C00000"/>
          <w:sz w:val="21"/>
          <w:szCs w:val="21"/>
        </w:rPr>
        <w:t>培养方式</w:t>
      </w:r>
    </w:p>
    <w:p>
      <w:pPr>
        <w:pStyle w:val="Style20"/>
        <w:spacing w:lineRule="atLeast" w:line="450" w:before="0" w:after="0"/>
        <w:rPr>
          <w:rFonts w:hint="eastAsia"/>
          <w:sz w:val="21"/>
          <w:szCs w:val="21"/>
        </w:rPr>
      </w:pPr>
      <w:r>
        <w:rPr>
          <w:rFonts w:hint="eastAsia"/>
          <w:sz w:val="21"/>
          <w:szCs w:val="21"/>
        </w:rPr>
        <w:t>线上线下相结合，具体课程安排参照学校实际安排。</w:t>
      </w:r>
    </w:p>
    <w:p>
      <w:pPr>
        <w:pStyle w:val="Style20"/>
        <w:spacing w:lineRule="atLeast" w:line="450" w:before="0" w:after="0"/>
        <w:rPr>
          <w:rFonts w:hint="eastAsia"/>
          <w:sz w:val="21"/>
          <w:szCs w:val="21"/>
        </w:rPr>
      </w:pPr>
      <w:r>
        <w:rPr>
          <w:rFonts w:hint="eastAsia"/>
          <w:sz w:val="21"/>
          <w:szCs w:val="21"/>
        </w:rPr>
      </w:r>
    </w:p>
    <w:p>
      <w:pPr>
        <w:pStyle w:val="Style20"/>
        <w:spacing w:lineRule="exact" w:line="500" w:before="100" w:after="100"/>
        <w:contextualSpacing/>
        <w:rPr>
          <w:b/>
          <w:color w:val="C00000"/>
          <w:sz w:val="21"/>
          <w:szCs w:val="21"/>
        </w:rPr>
      </w:pPr>
      <w:r>
        <w:rPr>
          <w:b/>
          <w:color w:val="C00000"/>
          <w:sz w:val="21"/>
          <w:szCs w:val="21"/>
        </w:rPr>
        <w:t>五、学习期限</w:t>
      </w:r>
    </w:p>
    <w:p>
      <w:pPr>
        <w:pStyle w:val="Style20"/>
        <w:spacing w:lineRule="atLeast" w:line="450" w:before="0" w:after="0"/>
        <w:ind w:firstLineChars="100" w:startChars="0" w:start="0" w:endChars="0" w:end="0"/>
        <w:rPr>
          <w:rFonts w:hint="eastAsia"/>
          <w:sz w:val="21"/>
          <w:szCs w:val="21"/>
        </w:rPr>
      </w:pPr>
      <w:r>
        <w:rPr>
          <w:rFonts w:hint="eastAsia"/>
          <w:sz w:val="21"/>
          <w:szCs w:val="21"/>
        </w:rPr>
        <w:t>学习时间</w:t>
      </w:r>
      <w:r>
        <w:rPr>
          <w:rFonts w:hint="eastAsia"/>
          <w:sz w:val="21"/>
          <w:szCs w:val="21"/>
        </w:rPr>
        <w:t>1</w:t>
      </w:r>
      <w:r>
        <w:rPr>
          <w:rFonts w:hint="eastAsia"/>
          <w:sz w:val="21"/>
          <w:szCs w:val="21"/>
        </w:rPr>
        <w:t>年，</w:t>
      </w:r>
      <w:r>
        <w:rPr>
          <w:sz w:val="21"/>
          <w:szCs w:val="21"/>
        </w:rPr>
        <w:t>2026</w:t>
      </w:r>
      <w:r>
        <w:rPr>
          <w:sz w:val="21"/>
          <w:szCs w:val="21"/>
        </w:rPr>
        <w:t>年</w:t>
      </w:r>
      <w:r>
        <w:rPr>
          <w:sz w:val="21"/>
          <w:szCs w:val="21"/>
        </w:rPr>
        <w:t>10</w:t>
      </w:r>
      <w:r>
        <w:rPr>
          <w:sz w:val="21"/>
          <w:szCs w:val="21"/>
        </w:rPr>
        <w:t>月</w:t>
      </w:r>
      <w:r>
        <w:rPr>
          <w:sz w:val="21"/>
          <w:szCs w:val="21"/>
        </w:rPr>
        <w:t>--2026</w:t>
      </w:r>
      <w:r>
        <w:rPr>
          <w:sz w:val="21"/>
          <w:szCs w:val="21"/>
        </w:rPr>
        <w:t>年</w:t>
      </w:r>
      <w:r>
        <w:rPr>
          <w:sz w:val="21"/>
          <w:szCs w:val="21"/>
        </w:rPr>
        <w:t>10</w:t>
      </w:r>
      <w:r>
        <w:rPr>
          <w:sz w:val="21"/>
          <w:szCs w:val="21"/>
        </w:rPr>
        <w:t>月</w:t>
      </w:r>
      <w:r>
        <w:rPr>
          <w:rFonts w:hint="eastAsia"/>
          <w:sz w:val="21"/>
          <w:szCs w:val="21"/>
        </w:rPr>
        <w:t>。</w:t>
      </w:r>
    </w:p>
    <w:p>
      <w:pPr>
        <w:pStyle w:val="Style20"/>
        <w:spacing w:lineRule="atLeast" w:line="450" w:before="0" w:after="0"/>
        <w:ind w:firstLineChars="100" w:startChars="0" w:start="0" w:endChars="0" w:end="0"/>
        <w:rPr>
          <w:rFonts w:hint="eastAsia"/>
          <w:sz w:val="21"/>
          <w:szCs w:val="21"/>
        </w:rPr>
      </w:pPr>
      <w:r>
        <w:rPr>
          <w:rFonts w:hint="eastAsia"/>
          <w:sz w:val="21"/>
          <w:szCs w:val="21"/>
        </w:rPr>
      </w:r>
    </w:p>
    <w:p>
      <w:pPr>
        <w:pStyle w:val="Style20"/>
        <w:spacing w:lineRule="exact" w:line="500" w:before="100" w:after="100"/>
        <w:contextualSpacing/>
        <w:rPr>
          <w:sz w:val="21"/>
          <w:szCs w:val="21"/>
        </w:rPr>
      </w:pPr>
      <w:r>
        <w:rPr>
          <w:b/>
          <w:color w:val="C00000"/>
          <w:sz w:val="21"/>
          <w:szCs w:val="21"/>
        </w:rPr>
        <w:t>六、报名条件</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1</w:t>
      </w:r>
      <w:r>
        <w:rPr>
          <w:rFonts w:hint="eastAsia"/>
          <w:sz w:val="21"/>
          <w:szCs w:val="21"/>
        </w:rPr>
        <w:t>、遵纪守法，品行端正，身体健康，能坚持在职学习者；</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2</w:t>
      </w:r>
      <w:r>
        <w:rPr>
          <w:rFonts w:hint="eastAsia"/>
          <w:sz w:val="21"/>
          <w:szCs w:val="21"/>
        </w:rPr>
        <w:t>、受教育背景，符合下列条件之一者：</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w:t>
      </w:r>
      <w:r>
        <w:rPr>
          <w:rFonts w:hint="eastAsia"/>
          <w:sz w:val="21"/>
          <w:szCs w:val="21"/>
        </w:rPr>
        <w:t>1</w:t>
      </w:r>
      <w:r>
        <w:rPr>
          <w:rFonts w:hint="eastAsia"/>
          <w:sz w:val="21"/>
          <w:szCs w:val="21"/>
        </w:rPr>
        <w:t>）大学本科毕业，并获得学士学位；</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w:t>
      </w:r>
      <w:r>
        <w:rPr>
          <w:rFonts w:hint="eastAsia"/>
          <w:sz w:val="21"/>
          <w:szCs w:val="21"/>
        </w:rPr>
        <w:t>2</w:t>
      </w:r>
      <w:r>
        <w:rPr>
          <w:rFonts w:hint="eastAsia"/>
          <w:sz w:val="21"/>
          <w:szCs w:val="21"/>
        </w:rPr>
        <w:t>）大专学历，旨在提高本人业务素质，也可报名参加在职课程培训班的学习。</w:t>
      </w:r>
    </w:p>
    <w:p>
      <w:pPr>
        <w:pStyle w:val="Style20"/>
        <w:spacing w:lineRule="exact" w:line="500" w:before="100" w:after="100"/>
        <w:contextualSpacing/>
        <w:rPr>
          <w:rFonts w:hint="eastAsia"/>
          <w:sz w:val="21"/>
          <w:szCs w:val="21"/>
        </w:rPr>
      </w:pPr>
      <w:r>
        <w:rPr>
          <w:rFonts w:hint="eastAsia"/>
          <w:sz w:val="21"/>
          <w:szCs w:val="21"/>
        </w:rPr>
      </w:r>
    </w:p>
    <w:p>
      <w:pPr>
        <w:pStyle w:val="Style20"/>
        <w:numPr>
          <w:ilvl w:val="0"/>
          <w:numId w:val="2"/>
        </w:numPr>
        <w:spacing w:lineRule="exact" w:line="500" w:before="100" w:after="280"/>
        <w:rPr>
          <w:rFonts w:hint="eastAsia"/>
          <w:b/>
          <w:color w:val="C00000"/>
          <w:sz w:val="21"/>
          <w:szCs w:val="21"/>
        </w:rPr>
      </w:pPr>
      <w:r>
        <w:rPr>
          <w:rFonts w:hint="eastAsia"/>
          <w:b/>
          <w:color w:val="C00000"/>
          <w:sz w:val="21"/>
          <w:szCs w:val="21"/>
        </w:rPr>
        <w:t>报名材料</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　</w:t>
      </w:r>
      <w:r>
        <w:rPr>
          <w:rFonts w:hint="eastAsia"/>
          <w:sz w:val="21"/>
          <w:szCs w:val="21"/>
        </w:rPr>
        <w:t>1</w:t>
      </w:r>
      <w:r>
        <w:rPr>
          <w:rFonts w:hint="eastAsia"/>
          <w:sz w:val="21"/>
          <w:szCs w:val="21"/>
        </w:rPr>
        <w:t>、本人身份证复印件</w:t>
      </w:r>
      <w:r>
        <w:rPr>
          <w:rFonts w:hint="eastAsia"/>
          <w:sz w:val="21"/>
          <w:szCs w:val="21"/>
        </w:rPr>
        <w:t>1</w:t>
      </w:r>
      <w:r>
        <w:rPr>
          <w:rFonts w:hint="eastAsia"/>
          <w:sz w:val="21"/>
          <w:szCs w:val="21"/>
        </w:rPr>
        <w:t>份</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　</w:t>
      </w:r>
      <w:r>
        <w:rPr>
          <w:rFonts w:hint="eastAsia"/>
          <w:sz w:val="21"/>
          <w:szCs w:val="21"/>
        </w:rPr>
        <w:t>2</w:t>
      </w:r>
      <w:r>
        <w:rPr>
          <w:rFonts w:hint="eastAsia"/>
          <w:sz w:val="21"/>
          <w:szCs w:val="21"/>
        </w:rPr>
        <w:t>、本人毕业证书复印件</w:t>
      </w:r>
      <w:r>
        <w:rPr>
          <w:rFonts w:hint="eastAsia"/>
          <w:sz w:val="21"/>
          <w:szCs w:val="21"/>
        </w:rPr>
        <w:t>1</w:t>
      </w:r>
      <w:r>
        <w:rPr>
          <w:rFonts w:hint="eastAsia"/>
          <w:sz w:val="21"/>
          <w:szCs w:val="21"/>
        </w:rPr>
        <w:t>份</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　</w:t>
      </w:r>
      <w:r>
        <w:rPr>
          <w:rFonts w:hint="eastAsia"/>
          <w:sz w:val="21"/>
          <w:szCs w:val="21"/>
        </w:rPr>
        <w:t>3</w:t>
      </w:r>
      <w:r>
        <w:rPr>
          <w:rFonts w:hint="eastAsia"/>
          <w:sz w:val="21"/>
          <w:szCs w:val="21"/>
        </w:rPr>
        <w:t>、本人学位证书复印件</w:t>
      </w:r>
      <w:r>
        <w:rPr>
          <w:rFonts w:hint="eastAsia"/>
          <w:sz w:val="21"/>
          <w:szCs w:val="21"/>
        </w:rPr>
        <w:t>1</w:t>
      </w:r>
      <w:r>
        <w:rPr>
          <w:rFonts w:hint="eastAsia"/>
          <w:sz w:val="21"/>
          <w:szCs w:val="21"/>
        </w:rPr>
        <w:t>份</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　</w:t>
      </w:r>
      <w:r>
        <w:rPr>
          <w:rFonts w:hint="eastAsia"/>
          <w:sz w:val="21"/>
          <w:szCs w:val="21"/>
        </w:rPr>
        <w:t>4</w:t>
      </w:r>
      <w:r>
        <w:rPr>
          <w:rFonts w:hint="eastAsia"/>
          <w:sz w:val="21"/>
          <w:szCs w:val="21"/>
        </w:rPr>
        <w:t>、</w:t>
      </w:r>
      <w:r>
        <w:rPr>
          <w:rFonts w:hint="eastAsia"/>
          <w:sz w:val="21"/>
          <w:szCs w:val="21"/>
        </w:rPr>
        <w:t>4</w:t>
      </w:r>
      <w:r>
        <w:rPr>
          <w:rFonts w:hint="eastAsia"/>
          <w:sz w:val="21"/>
          <w:szCs w:val="21"/>
        </w:rPr>
        <w:t>张近期</w:t>
      </w:r>
      <w:r>
        <w:rPr>
          <w:rFonts w:hint="eastAsia"/>
          <w:sz w:val="21"/>
          <w:szCs w:val="21"/>
        </w:rPr>
        <w:t>2</w:t>
      </w:r>
      <w:r>
        <w:rPr>
          <w:rFonts w:hint="eastAsia"/>
          <w:sz w:val="21"/>
          <w:szCs w:val="21"/>
        </w:rPr>
        <w:t>寸蓝底证件照片</w:t>
      </w:r>
    </w:p>
    <w:p>
      <w:pPr>
        <w:pStyle w:val="Style20"/>
        <w:spacing w:lineRule="exact" w:line="500" w:before="100" w:after="100"/>
        <w:ind w:firstLine="420" w:end="0"/>
        <w:contextualSpacing/>
        <w:rPr>
          <w:sz w:val="21"/>
          <w:szCs w:val="21"/>
        </w:rPr>
      </w:pPr>
      <w:r>
        <w:rPr>
          <w:rFonts w:hint="eastAsia"/>
          <w:sz w:val="21"/>
          <w:szCs w:val="21"/>
        </w:rPr>
        <w:t xml:space="preserve">  </w:t>
      </w:r>
      <w:r>
        <w:rPr>
          <w:rFonts w:hint="eastAsia"/>
          <w:sz w:val="21"/>
          <w:szCs w:val="21"/>
        </w:rPr>
        <w:t>5</w:t>
      </w:r>
      <w:r>
        <w:rPr>
          <w:rFonts w:hint="eastAsia"/>
          <w:sz w:val="21"/>
          <w:szCs w:val="21"/>
        </w:rPr>
        <w:t>、填写在职课程培训班报名表</w:t>
      </w:r>
    </w:p>
    <w:p>
      <w:pPr>
        <w:pStyle w:val="Style20"/>
        <w:spacing w:lineRule="exact" w:line="500" w:before="100" w:after="100"/>
        <w:ind w:firstLine="420" w:end="0"/>
        <w:contextualSpacing/>
        <w:rPr>
          <w:rFonts w:hint="eastAsia"/>
          <w:sz w:val="21"/>
          <w:szCs w:val="21"/>
        </w:rPr>
      </w:pPr>
      <w:r>
        <w:rPr>
          <w:rFonts w:hint="eastAsia"/>
          <w:sz w:val="21"/>
          <w:szCs w:val="21"/>
        </w:rPr>
      </w:r>
    </w:p>
    <w:p>
      <w:pPr>
        <w:pStyle w:val="Style20"/>
        <w:spacing w:lineRule="exact" w:line="500" w:before="100" w:after="100"/>
        <w:contextualSpacing/>
        <w:rPr>
          <w:b/>
          <w:color w:val="C00000"/>
          <w:sz w:val="21"/>
          <w:szCs w:val="21"/>
        </w:rPr>
      </w:pPr>
      <w:r>
        <w:rPr>
          <w:b/>
          <w:color w:val="C00000"/>
          <w:sz w:val="21"/>
          <w:szCs w:val="21"/>
        </w:rPr>
        <w:t>八、</w:t>
      </w:r>
      <w:r>
        <w:rPr>
          <w:rFonts w:hint="eastAsia"/>
          <w:b/>
          <w:color w:val="C00000"/>
          <w:sz w:val="21"/>
          <w:szCs w:val="21"/>
        </w:rPr>
        <w:t>收费标准</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培训费每人</w:t>
      </w:r>
      <w:r>
        <w:rPr>
          <w:rFonts w:hint="eastAsia"/>
          <w:sz w:val="21"/>
          <w:szCs w:val="21"/>
        </w:rPr>
        <w:t>44800</w:t>
      </w:r>
      <w:r>
        <w:rPr>
          <w:rFonts w:hint="eastAsia"/>
          <w:sz w:val="21"/>
          <w:szCs w:val="21"/>
        </w:rPr>
        <w:t>元，书费、资料费自理，费用一次性交清。</w:t>
      </w:r>
    </w:p>
    <w:p>
      <w:pPr>
        <w:pStyle w:val="Style20"/>
        <w:spacing w:lineRule="exact" w:line="500" w:before="100" w:after="100"/>
        <w:contextualSpacing/>
        <w:rPr>
          <w:sz w:val="21"/>
          <w:szCs w:val="21"/>
        </w:rPr>
      </w:pPr>
      <w:r>
        <w:rPr>
          <w:sz w:val="21"/>
          <w:szCs w:val="21"/>
        </w:rPr>
        <w:t>　</w:t>
      </w:r>
    </w:p>
    <w:p>
      <w:pPr>
        <w:pStyle w:val="Style20"/>
        <w:spacing w:lineRule="exact" w:line="500" w:before="100" w:after="100"/>
        <w:contextualSpacing/>
        <w:rPr>
          <w:b/>
          <w:color w:val="C00000"/>
          <w:sz w:val="21"/>
          <w:szCs w:val="21"/>
        </w:rPr>
      </w:pPr>
      <w:r>
        <w:rPr>
          <w:b/>
          <w:color w:val="C00000"/>
          <w:sz w:val="21"/>
          <w:szCs w:val="21"/>
        </w:rPr>
        <w:t>九、获取证书</w:t>
      </w:r>
    </w:p>
    <w:p>
      <w:pPr>
        <w:pStyle w:val="Style20"/>
        <w:spacing w:lineRule="atLeast" w:line="450" w:before="0" w:after="0"/>
        <w:ind w:firstLine="420" w:end="0"/>
        <w:jc w:val="both"/>
        <w:rPr>
          <w:rFonts w:hint="eastAsia"/>
          <w:sz w:val="21"/>
          <w:szCs w:val="21"/>
        </w:rPr>
      </w:pPr>
      <w:r>
        <w:rPr>
          <w:sz w:val="21"/>
          <w:szCs w:val="21"/>
        </w:rPr>
        <w:t>学员在规定期限内完成在职课程培训班的学习项目，通过规定的课程考试，</w:t>
      </w:r>
      <w:r>
        <w:rPr>
          <w:rFonts w:hint="eastAsia"/>
          <w:sz w:val="21"/>
          <w:szCs w:val="21"/>
        </w:rPr>
        <w:t>颁发中国人民大学教育培训结业证书。</w:t>
      </w:r>
    </w:p>
    <w:p>
      <w:pPr>
        <w:pStyle w:val="Style20"/>
        <w:spacing w:lineRule="exact" w:line="500" w:before="100" w:after="100"/>
        <w:contextualSpacing/>
        <w:rPr>
          <w:rFonts w:hint="eastAsia"/>
          <w:sz w:val="21"/>
          <w:szCs w:val="21"/>
        </w:rPr>
      </w:pPr>
      <w:r>
        <w:rPr>
          <w:rFonts w:hint="eastAsia"/>
          <w:sz w:val="21"/>
          <w:szCs w:val="21"/>
        </w:rPr>
      </w:r>
    </w:p>
    <w:sectPr>
      <w:headerReference w:type="default" r:id="rId3"/>
      <w:type w:val="nextPage"/>
      <w:pgSz w:w="11906" w:h="16838"/>
      <w:pgMar w:left="1800" w:right="1800" w:gutter="0" w:header="851"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6"/>
    <w:family w:val="roman"/>
    <w:pitch w:val="variable"/>
  </w:font>
  <w:font w:name="Times New Roman">
    <w:charset w:val="00" w:characterSet="windows-1252"/>
    <w:family w:val="roman"/>
    <w:pitch w:val="default"/>
  </w:font>
  <w:font w:name="宋体">
    <w:charset w:val="86"/>
    <w:family w:val="auto"/>
    <w:pitch w:val="default"/>
  </w:font>
  <w:font w:name="Liberation Sans">
    <w:altName w:val="Arial"/>
    <w:charset w:val="86"/>
    <w:family w:val="swiss"/>
    <w:pitch w:val="variable"/>
  </w:font>
  <w:font w:name="Calibri">
    <w:charset w:val="00" w:characterSet="windows-1252"/>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lang w:val="zh-CN" w:eastAsia="zh-CN"/>
      </w:rPr>
      <w:drawing>
        <wp:anchor distT="0" distB="0" distL="114935" distR="114935" simplePos="0" relativeHeight="4" behindDoc="1" locked="0" layoutInCell="0" allowOverlap="1">
          <wp:simplePos x="0" y="0"/>
          <wp:positionH relativeFrom="margin">
            <wp:align>center</wp:align>
          </wp:positionH>
          <wp:positionV relativeFrom="margin">
            <wp:align>center</wp:align>
          </wp:positionV>
          <wp:extent cx="4472305" cy="4507865"/>
          <wp:effectExtent l="0" t="0" r="0" b="0"/>
          <wp:wrapNone/>
          <wp:docPr id="3" name="WordPictureWatermark105820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58209720"/>
                  <pic:cNvPicPr>
                    <a:picLocks noChangeAspect="1" noChangeArrowheads="1"/>
                  </pic:cNvPicPr>
                </pic:nvPicPr>
                <pic:blipFill>
                  <a:blip r:embed="rId1">
                    <a:lum bright="70000" contrast="-70000"/>
                  </a:blip>
                  <a:srcRect l="-6" t="-6" r="-6" b="-6"/>
                  <a:stretch>
                    <a:fillRect/>
                  </a:stretch>
                </pic:blipFill>
                <pic:spPr bwMode="auto">
                  <a:xfrm>
                    <a:off x="0" y="0"/>
                    <a:ext cx="4472305" cy="450786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pStyle w:val="Heading5"/>
      <w:suff w:val="nothing"/>
      <w:lvlText w:val=""/>
      <w:lvlJc w:val="start"/>
      <w:pPr>
        <w:tabs>
          <w:tab w:val="num" w:pos="0"/>
        </w:tabs>
        <w:ind w:start="0" w:hanging="0"/>
      </w:pPr>
    </w:lvl>
    <w:lvl w:ilvl="5">
      <w:start w:val="1"/>
      <w:numFmt w:val="none"/>
      <w:pStyle w:val="Heading6"/>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7"/>
      <w:numFmt w:val="chineseCountingThousand"/>
      <w:suff w:val="nothing"/>
      <w:lvlText w:val="%1、"/>
      <w:lvlJc w:val="start"/>
      <w:pPr>
        <w:tabs>
          <w:tab w:val="num" w:pos="0"/>
        </w:tabs>
        <w:ind w:start="0" w:hanging="0"/>
      </w:pPr>
      <w:rPr>
        <w:rFonts w:hint="eastAsia"/>
      </w:rPr>
    </w:lvl>
  </w:abstractNum>
  <w:num w:numId="1">
    <w:abstractNumId w:val="1"/>
  </w:num>
  <w:num w:numId="2">
    <w:abstractNumId w:val="2"/>
  </w:num>
</w:numbering>
</file>

<file path=word/settings.xml><?xml version="1.0" encoding="utf-8"?>
<w:settings xmlns:w="http://schemas.openxmlformats.org/wordprocessingml/2006/main">
  <w:zoom w:percent="90"/>
  <w:defaultTabStop w:val="420"/>
  <w:autoHyphenation w:val="true"/>
  <w:hyphenationZone w:val="0"/>
  <w:compat>
    <w:doNotExpandShiftReturn/>
    <w:adjustLineHeightInTable/>
    <w:compatSetting w:name="compatibilityMode" w:uri="http://schemas.microsoft.com/office/word" w:val="11"/>
  </w:compat>
  <w:docVars>
    <w:docVar w:name="commondata" w:val="eyJoZGlkIjoiNGQ5ODQ5N2Q1NmI0ZDAwYTJiMTcyMmU3ZjhhMWE4NmEifQ=="/>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宋体" w:cs="Lucida San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2"/>
      <w:lang w:bidi="ar-SA" w:val="en-US" w:eastAsia="zh-CN"/>
    </w:rPr>
  </w:style>
  <w:style w:type="paragraph" w:styleId="Heading5">
    <w:name w:val="heading 5"/>
    <w:basedOn w:val="Normal"/>
    <w:next w:val="Normal"/>
    <w:qFormat/>
    <w:pPr>
      <w:numPr>
        <w:ilvl w:val="4"/>
        <w:numId w:val="1"/>
      </w:numPr>
      <w:spacing w:before="100" w:after="100"/>
      <w:jc w:val="start"/>
      <w:outlineLvl w:val="4"/>
    </w:pPr>
    <w:rPr>
      <w:rFonts w:ascii="宋体" w:hAnsi="宋体" w:eastAsia="宋体" w:cs="宋体" w:hint="eastAsia"/>
      <w:b/>
      <w:bCs/>
      <w:kern w:val="0"/>
      <w:sz w:val="20"/>
      <w:szCs w:val="20"/>
      <w:lang w:bidi="ar"/>
    </w:rPr>
  </w:style>
  <w:style w:type="paragraph" w:styleId="Heading6">
    <w:name w:val="heading 6"/>
    <w:basedOn w:val="Normal"/>
    <w:next w:val="Normal"/>
    <w:qFormat/>
    <w:pPr>
      <w:numPr>
        <w:ilvl w:val="5"/>
        <w:numId w:val="1"/>
      </w:numPr>
      <w:spacing w:before="100" w:after="100"/>
      <w:jc w:val="start"/>
      <w:outlineLvl w:val="5"/>
    </w:pPr>
    <w:rPr>
      <w:rFonts w:ascii="宋体" w:hAnsi="宋体" w:cs="宋体"/>
      <w:b/>
      <w:kern w:val="0"/>
      <w:sz w:val="15"/>
      <w:szCs w:val="15"/>
    </w:rPr>
  </w:style>
  <w:style w:type="character" w:styleId="WW8Num1z0">
    <w:name w:val="WW8Num1z0"/>
    <w:qFormat/>
    <w:rPr>
      <w:rFonts w:hint="eastAsia"/>
    </w:rPr>
  </w:style>
  <w:style w:type="character" w:styleId="Style12">
    <w:name w:val="默认段落字体"/>
    <w:qFormat/>
    <w:rPr/>
  </w:style>
  <w:style w:type="character" w:styleId="6">
    <w:name w:val="标题 6 字符"/>
    <w:qFormat/>
    <w:rPr>
      <w:rFonts w:ascii="宋体" w:hAnsi="宋体" w:cs="宋体"/>
      <w:b/>
      <w:sz w:val="15"/>
      <w:szCs w:val="15"/>
    </w:rPr>
  </w:style>
  <w:style w:type="character" w:styleId="Style13">
    <w:name w:val="批注框文本 字符"/>
    <w:qFormat/>
    <w:rPr>
      <w:sz w:val="18"/>
      <w:szCs w:val="18"/>
    </w:rPr>
  </w:style>
  <w:style w:type="character" w:styleId="Style14">
    <w:name w:val="页脚 字符"/>
    <w:qFormat/>
    <w:rPr>
      <w:sz w:val="18"/>
      <w:szCs w:val="18"/>
    </w:rPr>
  </w:style>
  <w:style w:type="character" w:styleId="Style15">
    <w:name w:val="页眉 字符"/>
    <w:qFormat/>
    <w:rPr>
      <w:sz w:val="18"/>
      <w:szCs w:val="18"/>
    </w:rPr>
  </w:style>
  <w:style w:type="character" w:styleId="Hyperlink">
    <w:name w:val="Hyperlink"/>
    <w:rPr>
      <w:color w:val="0563C1"/>
      <w:u w:val="single"/>
    </w:rPr>
  </w:style>
  <w:style w:type="paragraph" w:styleId="Style16">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7">
    <w:name w:val="索引"/>
    <w:basedOn w:val="Normal"/>
    <w:qFormat/>
    <w:pPr>
      <w:suppressLineNumbers/>
    </w:pPr>
    <w:rPr>
      <w:rFonts w:cs="Lucida Sans"/>
    </w:rPr>
  </w:style>
  <w:style w:type="paragraph" w:styleId="Style18">
    <w:name w:val="批注框文本"/>
    <w:basedOn w:val="Normal"/>
    <w:qFormat/>
    <w:pPr/>
    <w:rPr>
      <w:kern w:val="0"/>
      <w:sz w:val="18"/>
      <w:szCs w:val="18"/>
    </w:rPr>
  </w:style>
  <w:style w:type="paragraph" w:styleId="Style19">
    <w:name w:val="页眉与页脚"/>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kern w:val="0"/>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kern w:val="0"/>
      <w:sz w:val="18"/>
      <w:szCs w:val="18"/>
    </w:rPr>
  </w:style>
  <w:style w:type="paragraph" w:styleId="Style20">
    <w:name w:val="普通(网站)"/>
    <w:basedOn w:val="Normal"/>
    <w:qFormat/>
    <w:pPr>
      <w:widowControl/>
      <w:spacing w:before="100" w:after="100"/>
      <w:jc w:val="start"/>
    </w:pPr>
    <w:rPr>
      <w:rFonts w:ascii="宋体" w:hAnsi="宋体" w:eastAsia="宋体" w:cs="宋体"/>
      <w:kern w:val="0"/>
      <w:sz w:val="24"/>
      <w:szCs w:val="24"/>
    </w:rPr>
  </w:style>
  <w:style w:type="paragraph" w:styleId="Style21">
    <w:name w:val="表格内容"/>
    <w:basedOn w:val="Normal"/>
    <w:qFormat/>
    <w:pPr>
      <w:widowControl w:val="false"/>
      <w:suppressLineNumbers/>
    </w:pPr>
    <w:rPr/>
  </w:style>
  <w:style w:type="paragraph" w:styleId="Style22">
    <w:name w:val="表格标题"/>
    <w:basedOn w:val="Style21"/>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43200</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2021-01-23T14:22:00Z</dcterms:created>
  <dc:creator>Administrator</dc:creator>
  <dc:description/>
  <dc:language>zh-CN</dc:language>
  <cp:lastModifiedBy>Administrator</cp:lastModifiedBy>
  <dcterms:modified xsi:type="dcterms:W3CDTF">2026-02-20T17:19:53Z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14E9B325511045DCA2F592A6CA159FB3_13</vt:lpwstr>
  </property>
  <property fmtid="{D5CDD505-2E9C-101B-9397-08002B2CF9AE}" pid="3" name="KSOProductBuildVer">
    <vt:lpwstr>2052-12.1.0.19302</vt:lpwstr>
  </property>
  <property fmtid="{D5CDD505-2E9C-101B-9397-08002B2CF9AE}" pid="4" name="KSOTemplateDocerSaveRecord">
    <vt:lpwstr>eyJoZGlkIjoiMjJkYmYyOGQwNjU2YTFjYjBlYWQzZDdlZjc2Nzk1ZWYifQ==</vt:lpwstr>
  </property>
  <property fmtid="{D5CDD505-2E9C-101B-9397-08002B2CF9AE}" pid="5" name="commondata">
    <vt:lpwstr>eyJoZGlkIjoiNGQ5ODQ5N2Q1NmI0ZDAwYTJiMTcyMmU3ZjhhMWE4NmEifQ==</vt:lpwstr>
  </property>
</Properties>
</file>