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1"/>
        <w:snapToGrid w:val="false"/>
        <w:spacing w:lineRule="exact" w:line="500" w:before="0" w:after="100"/>
        <w:ind w:hangingChars="600" w:startChars="0" w:start="0" w:endChars="0" w:end="0"/>
        <w:rPr>
          <w:rFonts w:hint="eastAsia"/>
          <w:b/>
          <w:sz w:val="21"/>
          <w:szCs w:val="21"/>
          <w:lang w:val="zh-CN" w:eastAsia="zh-CN"/>
        </w:rPr>
      </w:pPr>
      <w:r>
        <w:drawing>
          <wp:anchor distT="0" distB="0" distL="114935" distR="114935" simplePos="0" relativeHeight="6" behindDoc="0" locked="0" layoutInCell="1" allowOverlap="1">
            <wp:simplePos x="0" y="0"/>
            <wp:positionH relativeFrom="column">
              <wp:posOffset>790575</wp:posOffset>
            </wp:positionH>
            <wp:positionV relativeFrom="paragraph">
              <wp:posOffset>-152400</wp:posOffset>
            </wp:positionV>
            <wp:extent cx="3457575" cy="107632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2"/>
                    <a:srcRect l="-5" t="-17" r="-5" b="-17"/>
                    <a:stretch>
                      <a:fillRect/>
                    </a:stretch>
                  </pic:blipFill>
                  <pic:spPr bwMode="auto">
                    <a:xfrm>
                      <a:off x="0" y="0"/>
                      <a:ext cx="3457575" cy="1076325"/>
                    </a:xfrm>
                    <a:prstGeom prst="rect">
                      <a:avLst/>
                    </a:prstGeom>
                    <a:noFill/>
                  </pic:spPr>
                </pic:pic>
              </a:graphicData>
            </a:graphic>
          </wp:anchor>
        </w:drawing>
      </w:r>
      <w:r>
        <w:rPr>
          <w:b/>
          <w:sz w:val="21"/>
          <w:szCs w:val="21"/>
        </w:rPr>
        <w:t>　</w:t>
      </w:r>
    </w:p>
    <w:p>
      <w:pPr>
        <w:pStyle w:val="Style21"/>
        <w:snapToGrid w:val="false"/>
        <w:spacing w:lineRule="exact" w:line="500" w:before="100" w:after="100"/>
        <w:ind w:hangingChars="600" w:startChars="0" w:start="0" w:endChars="0" w:end="0"/>
        <w:contextualSpacing/>
        <w:rPr>
          <w:rFonts w:hint="eastAsia"/>
          <w:b/>
          <w:sz w:val="21"/>
          <w:szCs w:val="21"/>
          <w:lang w:val="zh-CN" w:eastAsia="zh-CN"/>
        </w:rPr>
      </w:pPr>
      <w:r>
        <w:rPr>
          <w:rFonts w:hint="eastAsia"/>
          <w:b/>
          <w:sz w:val="21"/>
          <w:szCs w:val="21"/>
          <w:lang w:val="zh-CN" w:eastAsia="zh-CN"/>
        </w:rPr>
      </w:r>
    </w:p>
    <w:p>
      <w:pPr>
        <w:pStyle w:val="Style21"/>
        <w:tabs>
          <w:tab w:val="clear" w:pos="420"/>
          <w:tab w:val="left" w:pos="7530" w:leader="none"/>
        </w:tabs>
        <w:snapToGrid w:val="false"/>
        <w:spacing w:lineRule="exact" w:line="500" w:before="100" w:after="100"/>
        <w:ind w:hangingChars="600" w:startChars="0" w:start="0" w:endChars="0" w:end="0"/>
        <w:contextualSpacing/>
        <w:rPr>
          <w:rFonts w:hint="eastAsia"/>
          <w:b/>
          <w:sz w:val="21"/>
          <w:szCs w:val="21"/>
          <w:lang w:val="zh-CN" w:eastAsia="zh-CN"/>
        </w:rPr>
      </w:pPr>
      <w:r>
        <w:rPr>
          <w:b/>
          <w:sz w:val="21"/>
          <w:szCs w:val="21"/>
          <w:lang w:val="zh-CN" w:eastAsia="zh-CN"/>
        </w:rPr>
        <w:tab/>
      </w:r>
    </w:p>
    <w:p>
      <w:pPr>
        <w:pStyle w:val="Style21"/>
        <w:spacing w:lineRule="exact" w:line="500" w:before="100" w:after="100"/>
        <w:contextualSpacing/>
        <w:jc w:val="center"/>
        <w:rPr>
          <w:b/>
          <w:sz w:val="30"/>
          <w:szCs w:val="30"/>
        </w:rPr>
      </w:pPr>
      <w:r>
        <w:rPr>
          <w:rFonts w:hint="eastAsia"/>
          <w:b/>
          <w:sz w:val="30"/>
          <w:szCs w:val="30"/>
        </w:rPr>
        <w:t>2026</w:t>
      </w:r>
      <w:r>
        <w:rPr>
          <w:b/>
          <w:sz w:val="30"/>
          <w:szCs w:val="30"/>
        </w:rPr>
        <w:t>年中国人民大学</w:t>
      </w:r>
      <w:r>
        <w:rPr>
          <w:rFonts w:hint="eastAsia"/>
          <w:b/>
          <w:sz w:val="30"/>
          <w:szCs w:val="30"/>
        </w:rPr>
        <w:t>公共管理学院行政管理</w:t>
      </w:r>
      <w:r>
        <w:rPr>
          <w:b/>
          <w:sz w:val="30"/>
          <w:szCs w:val="30"/>
        </w:rPr>
        <w:t>专业</w:t>
      </w:r>
    </w:p>
    <w:p>
      <w:pPr>
        <w:pStyle w:val="Style21"/>
        <w:spacing w:lineRule="exact" w:line="500" w:before="100" w:after="100"/>
        <w:contextualSpacing/>
        <w:jc w:val="center"/>
        <w:rPr>
          <w:b/>
          <w:sz w:val="30"/>
          <w:szCs w:val="30"/>
        </w:rPr>
      </w:pPr>
      <w:r>
        <w:rPr>
          <w:b/>
          <w:sz w:val="30"/>
          <w:szCs w:val="30"/>
        </w:rPr>
        <w:t>在职课程培训班</w:t>
      </w:r>
      <w:r>
        <w:rPr>
          <w:rFonts w:hint="eastAsia"/>
          <w:b/>
          <w:sz w:val="30"/>
          <w:szCs w:val="30"/>
        </w:rPr>
        <w:t>招生简章</w:t>
      </w:r>
    </w:p>
    <w:p>
      <w:pPr>
        <w:pStyle w:val="Style21"/>
        <w:spacing w:lineRule="exact" w:line="500" w:before="100" w:after="100"/>
        <w:contextualSpacing/>
        <w:rPr>
          <w:sz w:val="21"/>
          <w:szCs w:val="21"/>
        </w:rPr>
      </w:pPr>
      <w:r>
        <mc:AlternateContent>
          <mc:Choice Requires="wps">
            <w:drawing>
              <wp:anchor distT="0" distB="0" distL="114935" distR="114935" simplePos="0" relativeHeight="5" behindDoc="0" locked="0" layoutInCell="1" allowOverlap="1">
                <wp:simplePos x="0" y="0"/>
                <wp:positionH relativeFrom="column">
                  <wp:posOffset>9525</wp:posOffset>
                </wp:positionH>
                <wp:positionV relativeFrom="paragraph">
                  <wp:posOffset>203200</wp:posOffset>
                </wp:positionV>
                <wp:extent cx="5477510" cy="1270"/>
                <wp:effectExtent l="635" t="3175" r="635" b="3175"/>
                <wp:wrapNone/>
                <wp:docPr id="2" name="自选图形 6"/>
                <a:graphic xmlns:a="http://schemas.openxmlformats.org/drawingml/2006/main">
                  <a:graphicData uri="http://schemas.microsoft.com/office/word/2010/wordprocessingShape">
                    <wps:wsp>
                      <wps:cNvCnPr/>
                      <wps:spPr>
                        <a:xfrm>
                          <a:off x="0" y="0"/>
                          <a:ext cx="5478120" cy="1800"/>
                        </a:xfrm>
                        <a:prstGeom prst="straightConnector1">
                          <a:avLst/>
                        </a:prstGeom>
                        <a:ln w="6480">
                          <a:solidFill>
                            <a:srgbClr val="C00000"/>
                          </a:solidFill>
                          <a:miter/>
                        </a:ln>
                      </wps:spPr>
                      <wps:bodyPr/>
                    </wps:wsp>
                  </a:graphicData>
                </a:graphic>
              </wp:anchor>
            </w:drawing>
          </mc:Choice>
          <mc:Fallback>
            <w:pict>
              <v:shapetype id="_x0000_t32" coordsize="21600,21600" o:spt="32" path="m,l21600,21600nfe">
                <v:stroke joinstyle="miter"/>
                <v:path gradientshapeok="t" o:connecttype="rect" textboxrect="0,0,21600,21600"/>
              </v:shapetype>
              <v:shape id="shape_0" stroked="t" o:allowincell="f" style="position:absolute;margin-left:0.75pt;margin-top:16pt;width:431.3pt;height:0.1pt" type="_x0000_t32">
                <v:stroke color="#c00000" weight="6480" joinstyle="miter" endcap="flat"/>
                <v:fill o:detectmouseclick="t" on="false"/>
                <w10:wrap type="none"/>
              </v:shape>
            </w:pict>
          </mc:Fallback>
        </mc:AlternateContent>
      </w:r>
      <w:r>
        <w:rPr>
          <w:sz w:val="21"/>
          <w:szCs w:val="21"/>
        </w:rPr>
        <w:t>　　</w:t>
      </w:r>
    </w:p>
    <w:p>
      <w:pPr>
        <w:pStyle w:val="Style21"/>
        <w:spacing w:lineRule="exact" w:line="500" w:before="100" w:after="100"/>
        <w:contextualSpacing/>
        <w:rPr>
          <w:sz w:val="21"/>
          <w:szCs w:val="21"/>
        </w:rPr>
      </w:pPr>
      <w:r>
        <w:rPr>
          <w:sz w:val="21"/>
          <w:szCs w:val="21"/>
        </w:rPr>
        <w:t>培训类别：</w:t>
      </w:r>
      <w:r>
        <w:rPr>
          <w:color w:val="C00000"/>
          <w:sz w:val="21"/>
          <w:szCs w:val="21"/>
        </w:rPr>
        <w:t>课程班</w:t>
      </w:r>
      <w:r>
        <w:rPr>
          <w:color w:val="C00000"/>
          <w:sz w:val="21"/>
          <w:szCs w:val="21"/>
        </w:rPr>
        <w:t>[</w:t>
      </w:r>
      <w:r>
        <w:rPr>
          <w:rFonts w:hint="eastAsia"/>
          <w:color w:val="C00000"/>
          <w:sz w:val="21"/>
          <w:szCs w:val="21"/>
        </w:rPr>
        <w:t>管理</w:t>
      </w:r>
      <w:r>
        <w:rPr>
          <w:color w:val="C00000"/>
          <w:sz w:val="21"/>
          <w:szCs w:val="21"/>
        </w:rPr>
        <w:t>]</w:t>
      </w:r>
      <w:r>
        <w:rPr>
          <w:sz w:val="21"/>
          <w:szCs w:val="21"/>
        </w:rPr>
        <w:t xml:space="preserve">      </w:t>
      </w:r>
      <w:r>
        <w:rPr>
          <w:sz w:val="21"/>
          <w:szCs w:val="21"/>
        </w:rPr>
        <w:t>培训费：</w:t>
      </w:r>
      <w:r>
        <w:rPr>
          <w:rFonts w:hint="eastAsia"/>
          <w:color w:val="C00000"/>
          <w:sz w:val="21"/>
          <w:szCs w:val="21"/>
        </w:rPr>
        <w:t>380</w:t>
      </w:r>
      <w:r>
        <w:rPr>
          <w:color w:val="C00000"/>
          <w:sz w:val="21"/>
          <w:szCs w:val="21"/>
        </w:rPr>
        <w:t>00.00</w:t>
      </w:r>
      <w:r>
        <w:rPr>
          <w:color w:val="C00000"/>
          <w:sz w:val="21"/>
          <w:szCs w:val="21"/>
        </w:rPr>
        <w:t xml:space="preserve">元 </w:t>
      </w:r>
      <w:r>
        <w:rPr>
          <w:sz w:val="21"/>
          <w:szCs w:val="21"/>
        </w:rPr>
        <w:t xml:space="preserve">    主办单位：</w:t>
      </w:r>
      <w:r>
        <w:rPr>
          <w:rFonts w:hint="eastAsia"/>
          <w:color w:val="C00000"/>
          <w:sz w:val="21"/>
          <w:szCs w:val="21"/>
        </w:rPr>
        <w:t>公共管理</w:t>
      </w:r>
      <w:r>
        <w:rPr>
          <w:color w:val="C00000"/>
          <w:sz w:val="21"/>
          <w:szCs w:val="21"/>
        </w:rPr>
        <w:t>学院</w:t>
      </w:r>
    </w:p>
    <w:p>
      <w:pPr>
        <w:pStyle w:val="Normal"/>
        <w:spacing w:lineRule="exact" w:line="500"/>
        <w:ind w:firstLineChars="200" w:startChars="0" w:start="0" w:endChars="0" w:end="0"/>
        <w:rPr>
          <w:rFonts w:ascii="宋体;SimSun" w:hAnsi="宋体;SimSun" w:cs="宋体;SimSun"/>
          <w:szCs w:val="21"/>
        </w:rPr>
      </w:pPr>
      <w:r>
        <w:rPr>
          <w:rFonts w:ascii="宋体;SimSun" w:hAnsi="宋体;SimSun" w:cs="宋体;SimSun" w:hint="eastAsia"/>
          <w:szCs w:val="21"/>
        </w:rPr>
        <w:t>中国人民大学是一所以人文社会科学为主的综合性研究型全国重点大学。学校是国家“</w:t>
      </w:r>
      <w:r>
        <w:rPr>
          <w:rFonts w:cs="宋体;SimSun" w:hint="eastAsia" w:ascii="宋体;SimSun" w:hAnsi="宋体;SimSun"/>
          <w:szCs w:val="21"/>
        </w:rPr>
        <w:t>985</w:t>
      </w:r>
      <w:r>
        <w:rPr>
          <w:rFonts w:ascii="宋体;SimSun" w:hAnsi="宋体;SimSun" w:cs="宋体;SimSun" w:hint="eastAsia"/>
          <w:szCs w:val="21"/>
        </w:rPr>
        <w:t>工程”和“</w:t>
      </w:r>
      <w:r>
        <w:rPr>
          <w:rFonts w:cs="宋体;SimSun" w:hint="eastAsia" w:ascii="宋体;SimSun" w:hAnsi="宋体;SimSun"/>
          <w:szCs w:val="21"/>
        </w:rPr>
        <w:t>211</w:t>
      </w:r>
      <w:r>
        <w:rPr>
          <w:rFonts w:ascii="宋体;SimSun" w:hAnsi="宋体;SimSun" w:cs="宋体;SimSun" w:hint="eastAsia"/>
          <w:szCs w:val="21"/>
        </w:rPr>
        <w:t>工程”重点建设的大学之一，在长期办学实践中成绩显著被誉为“我国人文社会科学高等教育领域的一面旗帜”。</w:t>
      </w:r>
    </w:p>
    <w:p>
      <w:pPr>
        <w:pStyle w:val="Style21"/>
        <w:spacing w:lineRule="exact" w:line="500" w:before="100" w:after="100"/>
        <w:contextualSpacing/>
        <w:rPr>
          <w:b/>
          <w:color w:val="C00000"/>
          <w:sz w:val="21"/>
          <w:szCs w:val="21"/>
        </w:rPr>
      </w:pPr>
      <w:r>
        <w:rPr>
          <w:b/>
          <w:color w:val="C00000"/>
          <w:sz w:val="21"/>
          <w:szCs w:val="21"/>
        </w:rPr>
        <w:t>一、学院及专业优势简介</w:t>
      </w:r>
    </w:p>
    <w:p>
      <w:pPr>
        <w:pStyle w:val="Style21"/>
        <w:spacing w:lineRule="exact" w:line="500"/>
        <w:ind w:firstLineChars="200" w:startChars="0" w:start="0" w:endChars="0" w:end="0"/>
        <w:rPr>
          <w:sz w:val="21"/>
          <w:szCs w:val="21"/>
        </w:rPr>
      </w:pPr>
      <w:r>
        <w:rPr>
          <w:sz w:val="21"/>
          <w:szCs w:val="21"/>
        </w:rPr>
        <w:t>中国人民大学公共管理学院组建于</w:t>
      </w:r>
      <w:r>
        <w:rPr>
          <w:sz w:val="21"/>
          <w:szCs w:val="21"/>
        </w:rPr>
        <w:t>2001</w:t>
      </w:r>
      <w:r>
        <w:rPr>
          <w:sz w:val="21"/>
          <w:szCs w:val="21"/>
        </w:rPr>
        <w:t>年</w:t>
      </w:r>
      <w:r>
        <w:rPr>
          <w:sz w:val="21"/>
          <w:szCs w:val="21"/>
        </w:rPr>
        <w:t>6</w:t>
      </w:r>
      <w:r>
        <w:rPr>
          <w:sz w:val="21"/>
          <w:szCs w:val="21"/>
        </w:rPr>
        <w:t>月，以“中国特色、世界一流”为发展目标，将“培养创新人才、发展原创理论、引领学科建设、服务国家战略、深化国际合作”作为基本定位，培育“理论扎实、方法科学、求是为公、本土关怀、国际视野”的杰出公共管理人才。学院现有</w:t>
      </w:r>
      <w:r>
        <w:rPr>
          <w:sz w:val="21"/>
          <w:szCs w:val="21"/>
        </w:rPr>
        <w:t>9</w:t>
      </w:r>
      <w:r>
        <w:rPr>
          <w:sz w:val="21"/>
          <w:szCs w:val="21"/>
        </w:rPr>
        <w:t>个博士学位点、</w:t>
      </w:r>
      <w:r>
        <w:rPr>
          <w:sz w:val="21"/>
          <w:szCs w:val="21"/>
        </w:rPr>
        <w:t>10</w:t>
      </w:r>
      <w:r>
        <w:rPr>
          <w:sz w:val="21"/>
          <w:szCs w:val="21"/>
        </w:rPr>
        <w:t>个学术型硕士学位点、</w:t>
      </w:r>
      <w:r>
        <w:rPr>
          <w:sz w:val="21"/>
          <w:szCs w:val="21"/>
        </w:rPr>
        <w:t>2</w:t>
      </w:r>
      <w:r>
        <w:rPr>
          <w:sz w:val="21"/>
          <w:szCs w:val="21"/>
        </w:rPr>
        <w:t>个公共管理专业学位硕士点（包括公共管理硕士</w:t>
      </w:r>
      <w:r>
        <w:rPr>
          <w:sz w:val="21"/>
          <w:szCs w:val="21"/>
        </w:rPr>
        <w:t>MPA</w:t>
      </w:r>
      <w:r>
        <w:rPr>
          <w:sz w:val="21"/>
          <w:szCs w:val="21"/>
        </w:rPr>
        <w:t xml:space="preserve">和国际公共管理硕士 </w:t>
      </w:r>
      <w:r>
        <w:rPr>
          <w:sz w:val="21"/>
          <w:szCs w:val="21"/>
        </w:rPr>
        <w:t>IMPA</w:t>
      </w:r>
      <w:r>
        <w:rPr>
          <w:sz w:val="21"/>
          <w:szCs w:val="21"/>
        </w:rPr>
        <w:t>）、</w:t>
      </w:r>
      <w:r>
        <w:rPr>
          <w:sz w:val="21"/>
          <w:szCs w:val="21"/>
        </w:rPr>
        <w:t>3</w:t>
      </w:r>
      <w:r>
        <w:rPr>
          <w:sz w:val="21"/>
          <w:szCs w:val="21"/>
        </w:rPr>
        <w:t>个国家级一流本科专业（行政管理、土地资源管理、城市管理）；设有公共管理博士后流动站；拥有国土规划与国家治理研究院</w:t>
      </w:r>
      <w:r>
        <w:rPr>
          <w:sz w:val="21"/>
          <w:szCs w:val="21"/>
        </w:rPr>
        <w:t>1</w:t>
      </w:r>
      <w:r>
        <w:rPr>
          <w:sz w:val="21"/>
          <w:szCs w:val="21"/>
        </w:rPr>
        <w:t>个创新高地，拥有应急管理团队、国土空间数字治理智能仿真团队、公共健康与卫生疾控文理交叉平台、健康科学医院改革与医疗大数据文理交叉平台</w:t>
      </w:r>
      <w:r>
        <w:rPr>
          <w:sz w:val="21"/>
          <w:szCs w:val="21"/>
        </w:rPr>
        <w:t>4</w:t>
      </w:r>
      <w:r>
        <w:rPr>
          <w:sz w:val="21"/>
          <w:szCs w:val="21"/>
        </w:rPr>
        <w:t>个跨学科交叉平台。</w:t>
      </w:r>
      <w:r>
        <w:rPr>
          <w:sz w:val="21"/>
          <w:szCs w:val="21"/>
        </w:rPr>
        <w:t>2019</w:t>
      </w:r>
      <w:r>
        <w:rPr>
          <w:sz w:val="21"/>
          <w:szCs w:val="21"/>
        </w:rPr>
        <w:t>年以来，学院新增大数据公共治理、应急管理、干部教育学等二级学科，全球城市治理全英文硕士双学位。</w:t>
      </w:r>
    </w:p>
    <w:p>
      <w:pPr>
        <w:pStyle w:val="Style21"/>
        <w:spacing w:lineRule="exact" w:line="500"/>
        <w:ind w:firstLineChars="200" w:startChars="0" w:start="0" w:endChars="0" w:end="0"/>
        <w:rPr>
          <w:sz w:val="21"/>
          <w:szCs w:val="21"/>
        </w:rPr>
      </w:pPr>
      <w:r>
        <w:rPr>
          <w:sz w:val="21"/>
          <w:szCs w:val="21"/>
        </w:rPr>
        <w:t>2012</w:t>
      </w:r>
      <w:r>
        <w:rPr>
          <w:sz w:val="21"/>
          <w:szCs w:val="21"/>
        </w:rPr>
        <w:t>年，公共管理学科在全国第三轮学科评估中名列全国高校第一。</w:t>
      </w:r>
      <w:r>
        <w:rPr>
          <w:sz w:val="21"/>
          <w:szCs w:val="21"/>
        </w:rPr>
        <w:t xml:space="preserve">2017 </w:t>
      </w:r>
      <w:r>
        <w:rPr>
          <w:sz w:val="21"/>
          <w:szCs w:val="21"/>
        </w:rPr>
        <w:t>年和</w:t>
      </w:r>
      <w:r>
        <w:rPr>
          <w:sz w:val="21"/>
          <w:szCs w:val="21"/>
        </w:rPr>
        <w:t>2022</w:t>
      </w:r>
      <w:r>
        <w:rPr>
          <w:sz w:val="21"/>
          <w:szCs w:val="21"/>
        </w:rPr>
        <w:t>年，公共管理一级学科入围第一轮和第二轮“双一流”建设高校及建设学科名单；在全国第四轮、第五轮学科评估中获评</w:t>
      </w:r>
      <w:r>
        <w:rPr>
          <w:sz w:val="21"/>
          <w:szCs w:val="21"/>
        </w:rPr>
        <w:t>A+</w:t>
      </w:r>
      <w:r>
        <w:rPr>
          <w:sz w:val="21"/>
          <w:szCs w:val="21"/>
        </w:rPr>
        <w:t>。</w:t>
      </w:r>
    </w:p>
    <w:p>
      <w:pPr>
        <w:pStyle w:val="Style21"/>
        <w:spacing w:lineRule="exact" w:line="500"/>
        <w:ind w:firstLineChars="200" w:startChars="0" w:start="0" w:endChars="0" w:end="0"/>
        <w:rPr>
          <w:sz w:val="21"/>
          <w:szCs w:val="21"/>
        </w:rPr>
      </w:pPr>
      <w:r>
        <w:rPr>
          <w:sz w:val="21"/>
          <w:szCs w:val="21"/>
        </w:rPr>
        <w:t>学院现有专职教师</w:t>
      </w:r>
      <w:r>
        <w:rPr>
          <w:sz w:val="21"/>
          <w:szCs w:val="21"/>
        </w:rPr>
        <w:t>84</w:t>
      </w:r>
      <w:r>
        <w:rPr>
          <w:sz w:val="21"/>
          <w:szCs w:val="21"/>
        </w:rPr>
        <w:t>人，现有教师队伍由</w:t>
      </w:r>
      <w:r>
        <w:rPr>
          <w:sz w:val="21"/>
          <w:szCs w:val="21"/>
        </w:rPr>
        <w:t>46</w:t>
      </w:r>
      <w:r>
        <w:rPr>
          <w:sz w:val="21"/>
          <w:szCs w:val="21"/>
        </w:rPr>
        <w:t>位教授、</w:t>
      </w:r>
      <w:r>
        <w:rPr>
          <w:sz w:val="21"/>
          <w:szCs w:val="21"/>
        </w:rPr>
        <w:t>28</w:t>
      </w:r>
      <w:r>
        <w:rPr>
          <w:sz w:val="21"/>
          <w:szCs w:val="21"/>
        </w:rPr>
        <w:t>位副教授和</w:t>
      </w:r>
      <w:r>
        <w:rPr>
          <w:sz w:val="21"/>
          <w:szCs w:val="21"/>
        </w:rPr>
        <w:t>10</w:t>
      </w:r>
      <w:r>
        <w:rPr>
          <w:sz w:val="21"/>
          <w:szCs w:val="21"/>
        </w:rPr>
        <w:t>位讲师组成，其中拥有博士学位者</w:t>
      </w:r>
      <w:r>
        <w:rPr>
          <w:sz w:val="21"/>
          <w:szCs w:val="21"/>
        </w:rPr>
        <w:t>83</w:t>
      </w:r>
      <w:r>
        <w:rPr>
          <w:sz w:val="21"/>
          <w:szCs w:val="21"/>
        </w:rPr>
        <w:t>人，</w:t>
      </w:r>
      <w:r>
        <w:rPr>
          <w:sz w:val="21"/>
          <w:szCs w:val="21"/>
        </w:rPr>
        <w:t>34</w:t>
      </w:r>
      <w:r>
        <w:rPr>
          <w:sz w:val="21"/>
          <w:szCs w:val="21"/>
        </w:rPr>
        <w:t>人为海外博士学位获得者。</w:t>
      </w:r>
    </w:p>
    <w:p>
      <w:pPr>
        <w:pStyle w:val="Style21"/>
        <w:spacing w:lineRule="exact" w:line="500"/>
        <w:ind w:firstLineChars="200" w:startChars="0" w:start="0" w:endChars="0" w:end="0"/>
        <w:rPr>
          <w:sz w:val="21"/>
          <w:szCs w:val="21"/>
        </w:rPr>
      </w:pPr>
      <w:r>
        <w:rPr>
          <w:sz w:val="21"/>
          <w:szCs w:val="21"/>
        </w:rPr>
        <w:t>公共管理学院行政管理学系于</w:t>
      </w:r>
      <w:r>
        <w:rPr>
          <w:sz w:val="21"/>
          <w:szCs w:val="21"/>
        </w:rPr>
        <w:t>1986</w:t>
      </w:r>
      <w:r>
        <w:rPr>
          <w:sz w:val="21"/>
          <w:szCs w:val="21"/>
        </w:rPr>
        <w:t>年建立，是全国最早开展行政管理学高等教育的机构之一，为国家输送了大批的公务员和公共管理专业人才。行政管理专业是国家级重点学科，该学科的教学特色是：强化基础理论知识，注重基本技能训练，突出理论联系实际。</w:t>
      </w:r>
    </w:p>
    <w:p>
      <w:pPr>
        <w:pStyle w:val="Style21"/>
        <w:spacing w:lineRule="exact" w:line="500"/>
        <w:ind w:firstLineChars="200" w:startChars="0" w:start="0" w:endChars="0" w:end="0"/>
        <w:rPr>
          <w:sz w:val="21"/>
          <w:szCs w:val="21"/>
        </w:rPr>
      </w:pPr>
      <w:r>
        <w:rPr>
          <w:sz w:val="21"/>
          <w:szCs w:val="21"/>
        </w:rPr>
        <w:t>本专业主要研究方向为：公共行政理论与实践、公共部门人力资源管理、公共组织与非营利组织管理、应急管理、领导力、公共政策研究、当代中国政府研究。</w:t>
      </w:r>
    </w:p>
    <w:p>
      <w:pPr>
        <w:pStyle w:val="Style21"/>
        <w:spacing w:lineRule="atLeast" w:line="500" w:before="0" w:after="0"/>
        <w:ind w:firstLineChars="200" w:startChars="0" w:start="0" w:endChars="0" w:end="0"/>
        <w:jc w:val="both"/>
        <w:rPr>
          <w:rFonts w:hint="eastAsia"/>
          <w:kern w:val="2"/>
          <w:sz w:val="21"/>
          <w:szCs w:val="21"/>
        </w:rPr>
      </w:pPr>
      <w:r>
        <w:rPr>
          <w:rFonts w:hint="eastAsia"/>
          <w:kern w:val="2"/>
          <w:sz w:val="21"/>
          <w:szCs w:val="21"/>
        </w:rPr>
      </w:r>
    </w:p>
    <w:p>
      <w:pPr>
        <w:pStyle w:val="Style21"/>
        <w:spacing w:lineRule="exact" w:line="500" w:before="100" w:after="100"/>
        <w:contextualSpacing/>
        <w:rPr>
          <w:b/>
          <w:color w:val="C00000"/>
          <w:sz w:val="21"/>
          <w:szCs w:val="21"/>
        </w:rPr>
      </w:pPr>
      <w:r>
        <w:rPr>
          <w:b/>
          <w:color w:val="C00000"/>
          <w:sz w:val="21"/>
          <w:szCs w:val="21"/>
        </w:rPr>
        <w:t>二、培养目标</w:t>
      </w:r>
    </w:p>
    <w:p>
      <w:pPr>
        <w:pStyle w:val="Style21"/>
        <w:spacing w:lineRule="atLeast" w:line="500" w:before="0" w:after="0"/>
        <w:ind w:firstLineChars="200" w:startChars="0" w:start="0" w:endChars="0" w:end="0"/>
        <w:jc w:val="both"/>
        <w:rPr>
          <w:rFonts w:hint="eastAsia"/>
          <w:kern w:val="2"/>
          <w:sz w:val="21"/>
          <w:szCs w:val="21"/>
        </w:rPr>
      </w:pPr>
      <w:r>
        <w:rPr>
          <w:rFonts w:hint="eastAsia"/>
          <w:kern w:val="2"/>
          <w:sz w:val="21"/>
          <w:szCs w:val="21"/>
        </w:rPr>
        <w:t>本专业以提高人才培养质量为目标，适应中国特色社会主义公共行政管理发展要求，培养掌握现代公共管理理论、方法和技术，具有公共意识、公共精神、公共责任和国际化视野，具备较强的行政管理素养和创新创业能力、跨文化沟通能力的应用型行政管理人才。</w:t>
      </w:r>
    </w:p>
    <w:p>
      <w:pPr>
        <w:pStyle w:val="Style21"/>
        <w:spacing w:lineRule="atLeast" w:line="500" w:before="0" w:after="0"/>
        <w:ind w:firstLineChars="200" w:startChars="0" w:start="0" w:endChars="0" w:end="0"/>
        <w:jc w:val="both"/>
        <w:rPr>
          <w:kern w:val="2"/>
          <w:sz w:val="21"/>
          <w:szCs w:val="21"/>
        </w:rPr>
      </w:pPr>
      <w:r>
        <w:rPr>
          <w:rFonts w:hint="eastAsia"/>
          <w:kern w:val="2"/>
          <w:sz w:val="21"/>
          <w:szCs w:val="21"/>
        </w:rPr>
      </w:r>
    </w:p>
    <w:p>
      <w:pPr>
        <w:pStyle w:val="Style21"/>
        <w:spacing w:lineRule="exact" w:line="500" w:before="100" w:after="100"/>
        <w:contextualSpacing/>
        <w:rPr>
          <w:rFonts w:hint="eastAsia"/>
          <w:b/>
          <w:color w:val="C00000"/>
          <w:sz w:val="21"/>
          <w:szCs w:val="21"/>
        </w:rPr>
      </w:pPr>
      <w:r>
        <w:rPr>
          <w:rFonts w:hint="eastAsia"/>
          <w:b/>
          <w:color w:val="C00000"/>
          <w:sz w:val="21"/>
          <w:szCs w:val="21"/>
        </w:rPr>
        <w:t>三、课程安排</w:t>
      </w:r>
    </w:p>
    <w:tbl>
      <w:tblPr>
        <w:tblW w:w="8521" w:type="dxa"/>
        <w:jc w:val="start"/>
        <w:tblInd w:w="0" w:type="dxa"/>
        <w:tblLayout w:type="fixed"/>
        <w:tblCellMar>
          <w:top w:w="0" w:type="dxa"/>
          <w:start w:w="108" w:type="dxa"/>
          <w:bottom w:w="0" w:type="dxa"/>
          <w:end w:w="108" w:type="dxa"/>
        </w:tblCellMar>
      </w:tblPr>
      <w:tblGrid>
        <w:gridCol w:w="1179"/>
        <w:gridCol w:w="4140"/>
        <w:gridCol w:w="3202"/>
      </w:tblGrid>
      <w:tr>
        <w:trPr>
          <w:trHeight w:val="567" w:hRule="atLeast"/>
        </w:trPr>
        <w:tc>
          <w:tcPr>
            <w:tcW w:w="8521" w:type="dxa"/>
            <w:gridSpan w:val="3"/>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Cs/>
                <w:color w:val="000000"/>
                <w:sz w:val="21"/>
                <w:szCs w:val="21"/>
                <w:lang w:bidi="ar"/>
              </w:rPr>
              <w:t>行政管理专业课程设置</w:t>
            </w:r>
          </w:p>
        </w:tc>
      </w:tr>
      <w:tr>
        <w:trPr>
          <w:trHeight w:val="567" w:hRule="atLeast"/>
        </w:trPr>
        <w:tc>
          <w:tcPr>
            <w:tcW w:w="1179"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rFonts w:cs="微软雅黑"/>
                <w:color w:val="000000"/>
                <w:szCs w:val="21"/>
                <w:lang w:bidi="ar"/>
              </w:rPr>
            </w:pPr>
            <w:r>
              <w:rPr>
                <w:rFonts w:cs="微软雅黑"/>
                <w:b w:val="false"/>
                <w:color w:val="000000"/>
                <w:sz w:val="21"/>
                <w:szCs w:val="21"/>
                <w:lang w:bidi="ar"/>
              </w:rPr>
            </w:r>
          </w:p>
          <w:p>
            <w:pPr>
              <w:pStyle w:val="Normal"/>
              <w:ind w:firstLineChars="100" w:startChars="0" w:start="0" w:endChars="0" w:end="0"/>
              <w:rPr>
                <w:rFonts w:cs="微软雅黑" w:hint="eastAsia"/>
                <w:b/>
                <w:bCs/>
                <w:color w:val="000000"/>
                <w:szCs w:val="21"/>
                <w:lang w:bidi="ar"/>
              </w:rPr>
            </w:pPr>
            <w:r>
              <w:rPr>
                <w:rFonts w:cs="微软雅黑" w:hint="eastAsia"/>
                <w:b/>
                <w:bCs/>
                <w:color w:val="000000"/>
                <w:szCs w:val="21"/>
                <w:lang w:bidi="ar"/>
              </w:rPr>
              <w:t>公共课</w:t>
            </w:r>
          </w:p>
        </w:tc>
        <w:tc>
          <w:tcPr>
            <w:tcW w:w="414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b w:val="false"/>
                <w:color w:val="000000"/>
                <w:sz w:val="21"/>
                <w:szCs w:val="21"/>
                <w:lang w:bidi="ar"/>
              </w:rPr>
              <w:t>新时代中国特色社会主义理论与实践</w:t>
            </w:r>
          </w:p>
        </w:tc>
        <w:tc>
          <w:tcPr>
            <w:tcW w:w="320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b w:val="false"/>
                <w:color w:val="000000"/>
                <w:sz w:val="21"/>
                <w:szCs w:val="21"/>
                <w:lang w:bidi="ar"/>
              </w:rPr>
              <w:t>马克思主义与社会科学方法论</w:t>
            </w:r>
          </w:p>
        </w:tc>
      </w:tr>
      <w:tr>
        <w:trPr>
          <w:trHeight w:val="567" w:hRule="atLeast"/>
        </w:trPr>
        <w:tc>
          <w:tcPr>
            <w:tcW w:w="1179" w:type="dxa"/>
            <w:vMerge w:val="continue"/>
            <w:tcBorders>
              <w:top w:val="single" w:sz="4" w:space="0" w:color="000000"/>
              <w:start w:val="single" w:sz="4" w:space="0" w:color="000000"/>
              <w:bottom w:val="single" w:sz="4" w:space="0" w:color="000000"/>
              <w:end w:val="single" w:sz="4" w:space="0" w:color="000000"/>
            </w:tcBorders>
          </w:tcPr>
          <w:p>
            <w:pPr>
              <w:pStyle w:val="Heading6"/>
              <w:widowControl/>
              <w:numPr>
                <w:ilvl w:val="0"/>
                <w:numId w:val="0"/>
              </w:numPr>
              <w:snapToGrid w:val="false"/>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r>
          </w:p>
        </w:tc>
        <w:tc>
          <w:tcPr>
            <w:tcW w:w="414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语言基础</w:t>
            </w:r>
          </w:p>
        </w:tc>
        <w:tc>
          <w:tcPr>
            <w:tcW w:w="3202" w:type="dxa"/>
            <w:tcBorders>
              <w:top w:val="single" w:sz="4" w:space="0" w:color="000000"/>
              <w:start w:val="single" w:sz="4" w:space="0" w:color="000000"/>
              <w:bottom w:val="single" w:sz="4" w:space="0" w:color="000000"/>
              <w:end w:val="single" w:sz="4" w:space="0" w:color="000000"/>
            </w:tcBorders>
          </w:tcPr>
          <w:p>
            <w:pPr>
              <w:pStyle w:val="Heading6"/>
              <w:widowControl/>
              <w:snapToGrid w:val="false"/>
              <w:spacing w:before="225" w:after="75"/>
              <w:ind w:hanging="0" w:start="0"/>
              <w:jc w:val="center"/>
              <w:rPr>
                <w:rFonts w:cs="微软雅黑"/>
                <w:b w:val="false"/>
                <w:color w:val="000000"/>
                <w:sz w:val="21"/>
                <w:szCs w:val="21"/>
                <w:lang w:bidi="ar"/>
              </w:rPr>
            </w:pPr>
            <w:r>
              <w:rPr>
                <w:rFonts w:cs="微软雅黑"/>
                <w:b w:val="false"/>
                <w:color w:val="000000"/>
                <w:sz w:val="21"/>
                <w:szCs w:val="21"/>
                <w:lang w:bidi="ar"/>
              </w:rPr>
            </w:r>
          </w:p>
        </w:tc>
      </w:tr>
      <w:tr>
        <w:trPr>
          <w:trHeight w:val="567" w:hRule="atLeast"/>
        </w:trPr>
        <w:tc>
          <w:tcPr>
            <w:tcW w:w="1179" w:type="dxa"/>
            <w:vMerge w:val="restart"/>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Cs/>
                <w:color w:val="000000"/>
                <w:sz w:val="21"/>
                <w:szCs w:val="21"/>
                <w:lang w:bidi="ar"/>
              </w:rPr>
            </w:pPr>
            <w:r>
              <w:rPr>
                <w:rFonts w:cs="微软雅黑" w:hint="eastAsia"/>
                <w:bCs/>
                <w:color w:val="000000"/>
                <w:sz w:val="21"/>
                <w:szCs w:val="21"/>
                <w:lang w:bidi="ar"/>
              </w:rPr>
              <w:t>学科基础课</w:t>
            </w:r>
          </w:p>
        </w:tc>
        <w:tc>
          <w:tcPr>
            <w:tcW w:w="414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b w:val="false"/>
                <w:color w:val="000000"/>
                <w:sz w:val="21"/>
                <w:szCs w:val="21"/>
                <w:lang w:bidi="ar"/>
              </w:rPr>
              <w:t>政治学研究</w:t>
            </w:r>
          </w:p>
        </w:tc>
        <w:tc>
          <w:tcPr>
            <w:tcW w:w="320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b w:val="false"/>
                <w:color w:val="000000"/>
                <w:sz w:val="21"/>
                <w:szCs w:val="21"/>
                <w:lang w:bidi="ar"/>
              </w:rPr>
              <w:t>行政法研究</w:t>
            </w:r>
          </w:p>
        </w:tc>
      </w:tr>
      <w:tr>
        <w:trPr>
          <w:trHeight w:val="567" w:hRule="atLeast"/>
        </w:trPr>
        <w:tc>
          <w:tcPr>
            <w:tcW w:w="1179" w:type="dxa"/>
            <w:vMerge w:val="continue"/>
            <w:tcBorders>
              <w:top w:val="single" w:sz="4" w:space="0" w:color="000000"/>
              <w:start w:val="single" w:sz="4" w:space="0" w:color="000000"/>
              <w:bottom w:val="single" w:sz="4" w:space="0" w:color="000000"/>
              <w:end w:val="single" w:sz="4" w:space="0" w:color="000000"/>
            </w:tcBorders>
          </w:tcPr>
          <w:p>
            <w:pPr>
              <w:pStyle w:val="Heading6"/>
              <w:numPr>
                <w:ilvl w:val="0"/>
                <w:numId w:val="0"/>
              </w:numPr>
              <w:snapToGrid w:val="false"/>
              <w:spacing w:before="100" w:after="0"/>
              <w:ind w:hanging="0" w:start="0"/>
              <w:rPr>
                <w:rFonts w:cs="微软雅黑" w:hint="eastAsia"/>
                <w:b w:val="false"/>
                <w:color w:val="000000"/>
                <w:sz w:val="21"/>
                <w:szCs w:val="21"/>
                <w:lang w:bidi="ar"/>
              </w:rPr>
            </w:pPr>
            <w:r>
              <w:rPr>
                <w:rFonts w:cs="微软雅黑" w:hint="eastAsia"/>
                <w:b w:val="false"/>
                <w:color w:val="000000"/>
                <w:sz w:val="21"/>
                <w:szCs w:val="21"/>
                <w:lang w:bidi="ar"/>
              </w:rPr>
            </w:r>
          </w:p>
        </w:tc>
        <w:tc>
          <w:tcPr>
            <w:tcW w:w="414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b w:val="false"/>
                <w:color w:val="000000"/>
                <w:sz w:val="21"/>
                <w:szCs w:val="21"/>
                <w:lang w:bidi="ar"/>
              </w:rPr>
              <w:t>公共行政研究</w:t>
            </w:r>
          </w:p>
        </w:tc>
        <w:tc>
          <w:tcPr>
            <w:tcW w:w="3202" w:type="dxa"/>
            <w:tcBorders>
              <w:top w:val="single" w:sz="4" w:space="0" w:color="000000"/>
              <w:start w:val="single" w:sz="4" w:space="0" w:color="000000"/>
              <w:bottom w:val="single" w:sz="4" w:space="0" w:color="000000"/>
              <w:end w:val="single" w:sz="4" w:space="0" w:color="000000"/>
            </w:tcBorders>
          </w:tcPr>
          <w:p>
            <w:pPr>
              <w:pStyle w:val="Heading6"/>
              <w:widowControl/>
              <w:snapToGrid w:val="false"/>
              <w:spacing w:before="225" w:after="75"/>
              <w:ind w:hanging="0" w:start="0"/>
              <w:jc w:val="center"/>
              <w:rPr>
                <w:rFonts w:cs="微软雅黑"/>
                <w:b w:val="false"/>
                <w:color w:val="000000"/>
                <w:sz w:val="21"/>
                <w:szCs w:val="21"/>
                <w:lang w:bidi="ar"/>
              </w:rPr>
            </w:pPr>
            <w:r>
              <w:rPr>
                <w:rFonts w:cs="微软雅黑"/>
                <w:b w:val="false"/>
                <w:color w:val="000000"/>
                <w:sz w:val="21"/>
                <w:szCs w:val="21"/>
                <w:lang w:bidi="ar"/>
              </w:rPr>
            </w:r>
          </w:p>
        </w:tc>
      </w:tr>
      <w:tr>
        <w:trPr>
          <w:trHeight w:val="567" w:hRule="atLeast"/>
        </w:trPr>
        <w:tc>
          <w:tcPr>
            <w:tcW w:w="1179" w:type="dxa"/>
            <w:vMerge w:val="restart"/>
            <w:tcBorders>
              <w:top w:val="single" w:sz="4" w:space="0" w:color="000000"/>
              <w:start w:val="single" w:sz="4" w:space="0" w:color="000000"/>
              <w:bottom w:val="single" w:sz="4" w:space="0" w:color="000000"/>
              <w:end w:val="single" w:sz="4" w:space="0" w:color="000000"/>
            </w:tcBorders>
          </w:tcPr>
          <w:p>
            <w:pPr>
              <w:pStyle w:val="Heading6"/>
              <w:snapToGrid w:val="false"/>
              <w:spacing w:before="0" w:after="100"/>
              <w:ind w:hanging="0" w:start="0"/>
              <w:jc w:val="center"/>
              <w:rPr>
                <w:rFonts w:cs="微软雅黑"/>
                <w:b w:val="false"/>
                <w:color w:val="000000"/>
                <w:sz w:val="21"/>
                <w:szCs w:val="21"/>
                <w:lang w:bidi="ar"/>
              </w:rPr>
            </w:pPr>
            <w:r>
              <w:rPr>
                <w:rFonts w:cs="微软雅黑"/>
                <w:b w:val="false"/>
                <w:color w:val="000000"/>
                <w:sz w:val="21"/>
                <w:szCs w:val="21"/>
                <w:lang w:bidi="ar"/>
              </w:rPr>
            </w:r>
          </w:p>
          <w:p>
            <w:pPr>
              <w:pStyle w:val="Heading6"/>
              <w:spacing w:before="100" w:after="0"/>
              <w:ind w:firstLineChars="100" w:startChars="0" w:start="0" w:endChars="0" w:end="0"/>
              <w:rPr>
                <w:rFonts w:cs="微软雅黑"/>
                <w:bCs/>
                <w:color w:val="000000"/>
                <w:sz w:val="21"/>
                <w:szCs w:val="21"/>
                <w:lang w:bidi="ar"/>
              </w:rPr>
            </w:pPr>
            <w:r>
              <w:rPr>
                <w:rFonts w:cs="微软雅黑" w:hint="eastAsia"/>
                <w:bCs/>
                <w:color w:val="000000"/>
                <w:sz w:val="21"/>
                <w:szCs w:val="21"/>
                <w:lang w:bidi="ar"/>
              </w:rPr>
              <w:t>专业课</w:t>
            </w:r>
          </w:p>
        </w:tc>
        <w:tc>
          <w:tcPr>
            <w:tcW w:w="414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b w:val="false"/>
                <w:color w:val="000000"/>
                <w:sz w:val="21"/>
                <w:szCs w:val="21"/>
                <w:lang w:bidi="ar"/>
              </w:rPr>
              <w:t>公共部门人力资源管理研究</w:t>
            </w:r>
          </w:p>
        </w:tc>
        <w:tc>
          <w:tcPr>
            <w:tcW w:w="320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b w:val="false"/>
                <w:color w:val="000000"/>
                <w:sz w:val="21"/>
                <w:szCs w:val="21"/>
                <w:lang w:bidi="ar"/>
              </w:rPr>
              <w:t>当代中国政府研究</w:t>
            </w:r>
          </w:p>
        </w:tc>
      </w:tr>
      <w:tr>
        <w:trPr>
          <w:trHeight w:val="567" w:hRule="atLeast"/>
        </w:trPr>
        <w:tc>
          <w:tcPr>
            <w:tcW w:w="1179" w:type="dxa"/>
            <w:vMerge w:val="continue"/>
            <w:tcBorders>
              <w:top w:val="single" w:sz="4" w:space="0" w:color="000000"/>
              <w:start w:val="single" w:sz="4" w:space="0" w:color="000000"/>
              <w:bottom w:val="single" w:sz="4" w:space="0" w:color="000000"/>
              <w:end w:val="single" w:sz="4" w:space="0" w:color="000000"/>
            </w:tcBorders>
          </w:tcPr>
          <w:p>
            <w:pPr>
              <w:pStyle w:val="Heading6"/>
              <w:widowControl/>
              <w:numPr>
                <w:ilvl w:val="0"/>
                <w:numId w:val="0"/>
              </w:numPr>
              <w:snapToGrid w:val="false"/>
              <w:spacing w:before="225" w:after="75"/>
              <w:ind w:hanging="0" w:start="0"/>
              <w:jc w:val="center"/>
              <w:rPr>
                <w:rFonts w:cs="微软雅黑"/>
                <w:b w:val="false"/>
                <w:color w:val="000000"/>
                <w:sz w:val="21"/>
                <w:szCs w:val="21"/>
                <w:lang w:bidi="ar"/>
              </w:rPr>
            </w:pPr>
            <w:r>
              <w:rPr>
                <w:rFonts w:cs="微软雅黑"/>
                <w:b w:val="false"/>
                <w:color w:val="000000"/>
                <w:sz w:val="21"/>
                <w:szCs w:val="21"/>
                <w:lang w:bidi="ar"/>
              </w:rPr>
            </w:r>
          </w:p>
        </w:tc>
        <w:tc>
          <w:tcPr>
            <w:tcW w:w="414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b w:val="false"/>
                <w:color w:val="000000"/>
                <w:sz w:val="21"/>
                <w:szCs w:val="21"/>
                <w:lang w:bidi="ar"/>
              </w:rPr>
              <w:t>公共组织理论研究</w:t>
            </w:r>
          </w:p>
        </w:tc>
        <w:tc>
          <w:tcPr>
            <w:tcW w:w="320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b w:val="false"/>
                <w:color w:val="000000"/>
                <w:sz w:val="21"/>
                <w:szCs w:val="21"/>
                <w:lang w:bidi="ar"/>
              </w:rPr>
              <w:t>非营利组织研究</w:t>
            </w:r>
          </w:p>
        </w:tc>
      </w:tr>
      <w:tr>
        <w:trPr>
          <w:trHeight w:val="567" w:hRule="atLeast"/>
        </w:trPr>
        <w:tc>
          <w:tcPr>
            <w:tcW w:w="1179" w:type="dxa"/>
            <w:vMerge w:val="continue"/>
            <w:tcBorders>
              <w:top w:val="single" w:sz="4" w:space="0" w:color="000000"/>
              <w:start w:val="single" w:sz="4" w:space="0" w:color="000000"/>
              <w:bottom w:val="single" w:sz="4" w:space="0" w:color="000000"/>
              <w:end w:val="single" w:sz="4" w:space="0" w:color="000000"/>
            </w:tcBorders>
          </w:tcPr>
          <w:p>
            <w:pPr>
              <w:pStyle w:val="Heading6"/>
              <w:widowControl/>
              <w:numPr>
                <w:ilvl w:val="0"/>
                <w:numId w:val="0"/>
              </w:numPr>
              <w:snapToGrid w:val="false"/>
              <w:spacing w:before="225" w:after="75"/>
              <w:ind w:hanging="0" w:start="0"/>
              <w:jc w:val="center"/>
              <w:rPr>
                <w:rFonts w:cs="微软雅黑"/>
                <w:b w:val="false"/>
                <w:color w:val="000000"/>
                <w:sz w:val="21"/>
                <w:szCs w:val="21"/>
                <w:lang w:bidi="ar"/>
              </w:rPr>
            </w:pPr>
            <w:r>
              <w:rPr>
                <w:rFonts w:cs="微软雅黑"/>
                <w:b w:val="false"/>
                <w:color w:val="000000"/>
                <w:sz w:val="21"/>
                <w:szCs w:val="21"/>
                <w:lang w:bidi="ar"/>
              </w:rPr>
            </w:r>
          </w:p>
        </w:tc>
        <w:tc>
          <w:tcPr>
            <w:tcW w:w="414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ascii="Calibri" w:hAnsi="Calibri" w:cs="Calibri" w:hint="eastAsia"/>
                <w:b w:val="false"/>
                <w:bCs/>
                <w:kern w:val="2"/>
                <w:sz w:val="21"/>
                <w:szCs w:val="21"/>
              </w:rPr>
            </w:pPr>
            <w:r>
              <w:rPr>
                <w:rFonts w:ascii="Calibri" w:hAnsi="Calibri" w:cs="Calibri" w:hint="eastAsia"/>
                <w:b w:val="false"/>
                <w:bCs/>
                <w:kern w:val="2"/>
                <w:sz w:val="21"/>
                <w:szCs w:val="21"/>
              </w:rPr>
              <w:t>领导力专题研究</w:t>
            </w:r>
          </w:p>
        </w:tc>
        <w:tc>
          <w:tcPr>
            <w:tcW w:w="320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ascii="Calibri" w:hAnsi="Calibri" w:cs="Calibri" w:hint="eastAsia"/>
                <w:b w:val="false"/>
                <w:bCs/>
                <w:kern w:val="2"/>
                <w:sz w:val="21"/>
                <w:szCs w:val="21"/>
              </w:rPr>
            </w:pPr>
            <w:r>
              <w:rPr>
                <w:rFonts w:ascii="Calibri" w:hAnsi="Calibri" w:cs="Calibri" w:hint="eastAsia"/>
                <w:b w:val="false"/>
                <w:bCs/>
                <w:kern w:val="2"/>
                <w:sz w:val="21"/>
                <w:szCs w:val="21"/>
              </w:rPr>
              <w:t>应急管理与风险治理前沿</w:t>
            </w:r>
          </w:p>
        </w:tc>
      </w:tr>
      <w:tr>
        <w:trPr>
          <w:trHeight w:val="567" w:hRule="atLeast"/>
        </w:trPr>
        <w:tc>
          <w:tcPr>
            <w:tcW w:w="1179"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hint="eastAsia"/>
                <w:bCs/>
                <w:color w:val="000000"/>
                <w:sz w:val="21"/>
                <w:szCs w:val="21"/>
                <w:lang w:bidi="ar"/>
              </w:rPr>
            </w:pPr>
            <w:r>
              <w:rPr>
                <w:rFonts w:cs="微软雅黑" w:hint="eastAsia"/>
                <w:bCs/>
                <w:color w:val="000000"/>
                <w:sz w:val="21"/>
                <w:szCs w:val="21"/>
                <w:lang w:bidi="ar"/>
              </w:rPr>
              <w:t>方法课</w:t>
            </w:r>
          </w:p>
        </w:tc>
        <w:tc>
          <w:tcPr>
            <w:tcW w:w="414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ascii="Calibri" w:hAnsi="Calibri" w:cs="Calibri" w:hint="eastAsia"/>
                <w:b w:val="false"/>
                <w:bCs/>
                <w:kern w:val="2"/>
                <w:sz w:val="21"/>
                <w:szCs w:val="21"/>
              </w:rPr>
            </w:pPr>
            <w:r>
              <w:rPr>
                <w:rFonts w:ascii="Calibri" w:hAnsi="Calibri" w:cs="Calibri" w:hint="eastAsia"/>
                <w:b w:val="false"/>
                <w:bCs/>
                <w:kern w:val="2"/>
                <w:sz w:val="21"/>
                <w:szCs w:val="21"/>
              </w:rPr>
              <w:t>管理科学研究方法（一）</w:t>
            </w:r>
          </w:p>
        </w:tc>
        <w:tc>
          <w:tcPr>
            <w:tcW w:w="320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ascii="Calibri" w:hAnsi="Calibri" w:cs="Calibri" w:hint="eastAsia"/>
                <w:b w:val="false"/>
                <w:bCs/>
                <w:kern w:val="2"/>
                <w:sz w:val="21"/>
                <w:szCs w:val="21"/>
              </w:rPr>
            </w:pPr>
            <w:r>
              <w:rPr>
                <w:rFonts w:ascii="Calibri" w:hAnsi="Calibri" w:cs="Calibri" w:hint="eastAsia"/>
                <w:b w:val="false"/>
                <w:bCs/>
                <w:kern w:val="2"/>
                <w:sz w:val="21"/>
                <w:szCs w:val="21"/>
              </w:rPr>
              <w:t>管理科学研究方法（二）</w:t>
            </w:r>
          </w:p>
        </w:tc>
      </w:tr>
      <w:tr>
        <w:trPr>
          <w:trHeight w:val="567" w:hRule="atLeast"/>
        </w:trPr>
        <w:tc>
          <w:tcPr>
            <w:tcW w:w="1179" w:type="dxa"/>
            <w:tcBorders>
              <w:top w:val="single" w:sz="4" w:space="0" w:color="000000"/>
              <w:start w:val="single" w:sz="4" w:space="0" w:color="000000"/>
              <w:bottom w:val="single" w:sz="4" w:space="0" w:color="000000"/>
              <w:end w:val="single" w:sz="4" w:space="0" w:color="000000"/>
            </w:tcBorders>
          </w:tcPr>
          <w:p>
            <w:pPr>
              <w:pStyle w:val="Heading6"/>
              <w:widowControl/>
              <w:snapToGrid w:val="false"/>
              <w:spacing w:before="225" w:after="75"/>
              <w:ind w:hanging="0" w:start="0"/>
              <w:jc w:val="center"/>
              <w:rPr>
                <w:rFonts w:cs="微软雅黑" w:hint="eastAsia"/>
                <w:b w:val="false"/>
                <w:color w:val="000000"/>
                <w:sz w:val="21"/>
                <w:szCs w:val="21"/>
                <w:lang w:bidi="ar"/>
              </w:rPr>
            </w:pPr>
            <w:r>
              <w:rPr>
                <w:rFonts w:cs="微软雅黑" w:hint="eastAsia" w:ascii="Calibri" w:hAnsi="Calibri"/>
                <w:b w:val="false"/>
                <w:bCs/>
                <w:color w:val="000000"/>
                <w:kern w:val="2"/>
                <w:sz w:val="21"/>
                <w:szCs w:val="21"/>
                <w:lang w:bidi="ar"/>
              </w:rPr>
            </w:r>
          </w:p>
        </w:tc>
        <w:tc>
          <w:tcPr>
            <w:tcW w:w="414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ascii="Calibri" w:hAnsi="Calibri" w:cs="Calibri" w:hint="eastAsia"/>
                <w:b w:val="false"/>
                <w:bCs/>
                <w:kern w:val="2"/>
                <w:sz w:val="21"/>
                <w:szCs w:val="21"/>
              </w:rPr>
            </w:pPr>
            <w:r>
              <w:rPr>
                <w:rFonts w:ascii="Calibri" w:hAnsi="Calibri" w:cs="Calibri" w:hint="eastAsia"/>
                <w:b w:val="false"/>
                <w:bCs/>
                <w:kern w:val="2"/>
                <w:sz w:val="21"/>
                <w:szCs w:val="21"/>
              </w:rPr>
              <w:t>学术规范和论文写作</w:t>
            </w:r>
          </w:p>
        </w:tc>
        <w:tc>
          <w:tcPr>
            <w:tcW w:w="3202" w:type="dxa"/>
            <w:tcBorders>
              <w:top w:val="single" w:sz="4" w:space="0" w:color="000000"/>
              <w:start w:val="single" w:sz="4" w:space="0" w:color="000000"/>
              <w:bottom w:val="single" w:sz="4" w:space="0" w:color="000000"/>
              <w:end w:val="single" w:sz="4" w:space="0" w:color="000000"/>
            </w:tcBorders>
          </w:tcPr>
          <w:p>
            <w:pPr>
              <w:pStyle w:val="Heading6"/>
              <w:widowControl/>
              <w:snapToGrid w:val="false"/>
              <w:spacing w:before="225" w:after="75"/>
              <w:ind w:hanging="0" w:start="0"/>
              <w:jc w:val="center"/>
              <w:rPr>
                <w:rFonts w:ascii="Calibri" w:hAnsi="Calibri" w:cs="Calibri" w:hint="eastAsia"/>
                <w:b w:val="false"/>
                <w:bCs/>
                <w:kern w:val="2"/>
                <w:sz w:val="21"/>
                <w:szCs w:val="21"/>
              </w:rPr>
            </w:pPr>
            <w:r>
              <w:rPr>
                <w:rFonts w:cs="Calibri" w:hint="eastAsia" w:ascii="Calibri" w:hAnsi="Calibri"/>
                <w:b w:val="false"/>
                <w:bCs/>
                <w:kern w:val="2"/>
                <w:sz w:val="21"/>
                <w:szCs w:val="21"/>
              </w:rPr>
            </w:r>
          </w:p>
        </w:tc>
      </w:tr>
      <w:tr>
        <w:trPr>
          <w:trHeight w:val="567" w:hRule="atLeast"/>
        </w:trPr>
        <w:tc>
          <w:tcPr>
            <w:tcW w:w="1179"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Cs/>
                <w:color w:val="000000"/>
                <w:sz w:val="21"/>
                <w:szCs w:val="21"/>
                <w:lang w:bidi="ar"/>
              </w:rPr>
              <w:t>选修课</w:t>
            </w:r>
          </w:p>
        </w:tc>
        <w:tc>
          <w:tcPr>
            <w:tcW w:w="4140" w:type="dxa"/>
            <w:tcBorders>
              <w:top w:val="single" w:sz="4" w:space="0" w:color="000000"/>
              <w:start w:val="single" w:sz="4" w:space="0" w:color="000000"/>
              <w:bottom w:val="single" w:sz="4" w:space="0" w:color="000000"/>
              <w:end w:val="single" w:sz="4" w:space="0" w:color="000000"/>
            </w:tcBorders>
          </w:tcPr>
          <w:p>
            <w:pPr>
              <w:pStyle w:val="Style21"/>
              <w:spacing w:lineRule="atLeast" w:line="450" w:before="0" w:after="0"/>
              <w:jc w:val="center"/>
              <w:rPr>
                <w:rFonts w:ascii="Calibri" w:hAnsi="Calibri" w:cs="Times New Roman" w:hint="eastAsia"/>
                <w:bCs/>
                <w:kern w:val="2"/>
                <w:sz w:val="21"/>
                <w:szCs w:val="21"/>
              </w:rPr>
            </w:pPr>
            <w:r>
              <w:rPr>
                <w:rFonts w:ascii="Calibri" w:hAnsi="Calibri" w:cs="Times New Roman" w:hint="eastAsia"/>
                <w:bCs/>
                <w:kern w:val="2"/>
                <w:sz w:val="21"/>
                <w:szCs w:val="21"/>
              </w:rPr>
              <w:t>行政管理专题</w:t>
            </w:r>
          </w:p>
        </w:tc>
        <w:tc>
          <w:tcPr>
            <w:tcW w:w="320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ascii="Calibri" w:hAnsi="Calibri" w:cs="Calibri" w:hint="eastAsia"/>
                <w:b w:val="false"/>
                <w:bCs/>
                <w:kern w:val="2"/>
                <w:sz w:val="21"/>
                <w:szCs w:val="21"/>
              </w:rPr>
            </w:pPr>
            <w:r>
              <w:rPr>
                <w:rFonts w:ascii="Calibri" w:hAnsi="Calibri" w:cs="Calibri" w:hint="eastAsia"/>
                <w:b w:val="false"/>
                <w:bCs/>
                <w:kern w:val="2"/>
                <w:sz w:val="21"/>
                <w:szCs w:val="21"/>
              </w:rPr>
              <w:t>中国治理前沿专题</w:t>
            </w:r>
          </w:p>
        </w:tc>
      </w:tr>
    </w:tbl>
    <w:p>
      <w:pPr>
        <w:pStyle w:val="Style21"/>
        <w:spacing w:lineRule="exact" w:line="500" w:before="100" w:after="100"/>
        <w:ind w:firstLineChars="1300" w:startChars="0" w:start="0" w:endChars="0" w:end="0"/>
        <w:contextualSpacing/>
        <w:rPr>
          <w:rFonts w:cs="微软雅黑" w:hint="eastAsia"/>
          <w:color w:val="000000"/>
          <w:sz w:val="21"/>
          <w:szCs w:val="21"/>
          <w:lang w:bidi="ar"/>
        </w:rPr>
      </w:pPr>
      <w:r>
        <w:rPr>
          <w:rFonts w:hint="eastAsia"/>
          <w:sz w:val="21"/>
          <w:szCs w:val="21"/>
        </w:rPr>
        <w:t>注：具体课程参照实际教学</w:t>
      </w:r>
    </w:p>
    <w:p>
      <w:pPr>
        <w:pStyle w:val="Style21"/>
        <w:spacing w:lineRule="exact" w:line="500" w:before="100" w:after="100"/>
        <w:contextualSpacing/>
        <w:rPr>
          <w:b/>
          <w:color w:val="C00000"/>
          <w:sz w:val="21"/>
          <w:szCs w:val="21"/>
        </w:rPr>
      </w:pPr>
      <w:r>
        <w:rPr>
          <w:rFonts w:cs="微软雅黑" w:hint="eastAsia"/>
          <w:b/>
          <w:color w:val="C00000"/>
          <w:sz w:val="21"/>
          <w:szCs w:val="21"/>
          <w:lang w:bidi="ar"/>
        </w:rPr>
      </w:r>
    </w:p>
    <w:p>
      <w:pPr>
        <w:pStyle w:val="Style21"/>
        <w:spacing w:lineRule="exact" w:line="500" w:before="100" w:after="100"/>
        <w:contextualSpacing/>
        <w:rPr>
          <w:b/>
          <w:color w:val="C00000"/>
          <w:sz w:val="21"/>
          <w:szCs w:val="21"/>
        </w:rPr>
      </w:pPr>
      <w:r>
        <w:rPr>
          <w:b/>
          <w:color w:val="C00000"/>
          <w:sz w:val="21"/>
          <w:szCs w:val="21"/>
        </w:rPr>
        <w:t>四、</w:t>
      </w:r>
      <w:r>
        <w:rPr>
          <w:rFonts w:hint="eastAsia"/>
          <w:b/>
          <w:color w:val="C00000"/>
          <w:sz w:val="21"/>
          <w:szCs w:val="21"/>
        </w:rPr>
        <w:t>培养方式</w:t>
      </w:r>
    </w:p>
    <w:p>
      <w:pPr>
        <w:pStyle w:val="Style21"/>
        <w:spacing w:lineRule="atLeast" w:line="450" w:before="0" w:after="0"/>
        <w:ind w:firstLineChars="100" w:startChars="0" w:start="0" w:endChars="0" w:end="0"/>
        <w:rPr>
          <w:rFonts w:hint="eastAsia"/>
          <w:sz w:val="21"/>
          <w:szCs w:val="21"/>
        </w:rPr>
      </w:pPr>
      <w:r>
        <w:rPr>
          <w:rFonts w:hint="eastAsia"/>
          <w:sz w:val="21"/>
          <w:szCs w:val="21"/>
        </w:rPr>
        <w:t>每月安排</w:t>
      </w:r>
      <w:r>
        <w:rPr>
          <w:rFonts w:hint="eastAsia"/>
          <w:sz w:val="21"/>
          <w:szCs w:val="21"/>
        </w:rPr>
        <w:t>2-4</w:t>
      </w:r>
      <w:r>
        <w:rPr>
          <w:rFonts w:hint="eastAsia"/>
          <w:sz w:val="21"/>
          <w:szCs w:val="21"/>
        </w:rPr>
        <w:t>天周末时间集中授课，线上线下结合。</w:t>
      </w:r>
    </w:p>
    <w:p>
      <w:pPr>
        <w:pStyle w:val="Style21"/>
        <w:spacing w:lineRule="atLeast" w:line="450" w:before="0" w:after="0"/>
        <w:ind w:firstLineChars="100" w:startChars="0" w:start="0" w:endChars="0" w:end="0"/>
        <w:rPr>
          <w:sz w:val="21"/>
          <w:szCs w:val="21"/>
        </w:rPr>
      </w:pPr>
      <w:r>
        <w:rPr>
          <w:rFonts w:hint="eastAsia"/>
          <w:sz w:val="21"/>
          <w:szCs w:val="21"/>
        </w:rPr>
      </w:r>
    </w:p>
    <w:p>
      <w:pPr>
        <w:pStyle w:val="Style21"/>
        <w:spacing w:lineRule="exact" w:line="500" w:before="100" w:after="100"/>
        <w:contextualSpacing/>
        <w:rPr>
          <w:b/>
          <w:color w:val="C00000"/>
          <w:sz w:val="21"/>
          <w:szCs w:val="21"/>
        </w:rPr>
      </w:pPr>
      <w:r>
        <w:rPr>
          <w:b/>
          <w:color w:val="C00000"/>
          <w:sz w:val="21"/>
          <w:szCs w:val="21"/>
        </w:rPr>
        <w:t>五、学习期限</w:t>
      </w:r>
    </w:p>
    <w:p>
      <w:pPr>
        <w:pStyle w:val="Style21"/>
        <w:spacing w:lineRule="atLeast" w:line="450" w:before="0" w:after="0"/>
        <w:ind w:firstLineChars="100" w:startChars="0" w:start="0" w:endChars="0" w:end="0"/>
        <w:rPr>
          <w:rFonts w:hint="eastAsia"/>
          <w:sz w:val="21"/>
          <w:szCs w:val="21"/>
        </w:rPr>
      </w:pPr>
      <w:r>
        <w:rPr>
          <w:rFonts w:hint="eastAsia"/>
          <w:sz w:val="21"/>
          <w:szCs w:val="21"/>
        </w:rPr>
        <w:t>学习时间</w:t>
      </w:r>
      <w:r>
        <w:rPr>
          <w:rFonts w:hint="eastAsia"/>
          <w:sz w:val="21"/>
          <w:szCs w:val="21"/>
        </w:rPr>
        <w:t>1.5</w:t>
      </w:r>
      <w:r>
        <w:rPr>
          <w:rFonts w:hint="eastAsia"/>
          <w:sz w:val="21"/>
          <w:szCs w:val="21"/>
        </w:rPr>
        <w:t>年内。</w:t>
      </w:r>
    </w:p>
    <w:p>
      <w:pPr>
        <w:pStyle w:val="Style21"/>
        <w:spacing w:lineRule="exact" w:line="500" w:before="100" w:after="100"/>
        <w:contextualSpacing/>
        <w:rPr>
          <w:sz w:val="21"/>
          <w:szCs w:val="21"/>
        </w:rPr>
      </w:pPr>
      <w:r>
        <w:rPr>
          <w:rFonts w:hint="eastAsia"/>
          <w:sz w:val="21"/>
          <w:szCs w:val="21"/>
        </w:rPr>
      </w:r>
    </w:p>
    <w:p>
      <w:pPr>
        <w:pStyle w:val="Style21"/>
        <w:numPr>
          <w:ilvl w:val="0"/>
          <w:numId w:val="3"/>
        </w:numPr>
        <w:spacing w:lineRule="exact" w:line="500" w:before="100" w:after="280"/>
        <w:rPr>
          <w:b/>
          <w:color w:val="C00000"/>
          <w:sz w:val="21"/>
          <w:szCs w:val="21"/>
        </w:rPr>
      </w:pPr>
      <w:r>
        <w:rPr>
          <w:b/>
          <w:color w:val="C00000"/>
          <w:sz w:val="21"/>
          <w:szCs w:val="21"/>
        </w:rPr>
        <w:t>报名条件</w:t>
      </w:r>
    </w:p>
    <w:p>
      <w:pPr>
        <w:pStyle w:val="Style21"/>
        <w:spacing w:lineRule="exact" w:line="500" w:before="100" w:after="100"/>
        <w:ind w:firstLineChars="200" w:startChars="0" w:start="0" w:endChars="0" w:end="0"/>
        <w:contextualSpacing/>
        <w:rPr>
          <w:rFonts w:hint="eastAsia"/>
          <w:sz w:val="21"/>
          <w:szCs w:val="21"/>
        </w:rPr>
      </w:pPr>
      <w:r>
        <w:rPr>
          <w:rFonts w:hint="eastAsia"/>
          <w:sz w:val="21"/>
          <w:szCs w:val="21"/>
        </w:rPr>
        <w:t xml:space="preserve">1. </w:t>
      </w:r>
      <w:r>
        <w:rPr>
          <w:rFonts w:hint="eastAsia"/>
          <w:sz w:val="21"/>
          <w:szCs w:val="21"/>
        </w:rPr>
        <w:t>拥护《中华人民共和国宪法》，遵纪守法，品行端正，身体健康，并能坚持在职学习者。</w:t>
      </w:r>
    </w:p>
    <w:p>
      <w:pPr>
        <w:pStyle w:val="Style21"/>
        <w:spacing w:lineRule="exact" w:line="500" w:before="100" w:after="100"/>
        <w:ind w:firstLineChars="200" w:startChars="0" w:start="0" w:endChars="0" w:end="0"/>
        <w:contextualSpacing/>
        <w:rPr>
          <w:rFonts w:hint="eastAsia"/>
          <w:sz w:val="21"/>
          <w:szCs w:val="21"/>
        </w:rPr>
      </w:pPr>
      <w:r>
        <w:rPr>
          <w:rFonts w:hint="eastAsia"/>
          <w:sz w:val="21"/>
          <w:szCs w:val="21"/>
        </w:rPr>
        <w:t xml:space="preserve">2. </w:t>
      </w:r>
      <w:r>
        <w:rPr>
          <w:rFonts w:hint="eastAsia"/>
          <w:sz w:val="21"/>
          <w:szCs w:val="21"/>
        </w:rPr>
        <w:t>大专以上学历，具有本专业工作基础。</w:t>
      </w:r>
    </w:p>
    <w:p>
      <w:pPr>
        <w:pStyle w:val="Style21"/>
        <w:spacing w:lineRule="exact" w:line="500" w:before="100" w:after="100"/>
        <w:contextualSpacing/>
        <w:rPr>
          <w:rFonts w:hint="eastAsia"/>
          <w:sz w:val="21"/>
          <w:szCs w:val="21"/>
        </w:rPr>
      </w:pPr>
      <w:r>
        <w:rPr>
          <w:rFonts w:hint="eastAsia"/>
          <w:sz w:val="21"/>
          <w:szCs w:val="21"/>
        </w:rPr>
      </w:r>
    </w:p>
    <w:p>
      <w:pPr>
        <w:pStyle w:val="Style21"/>
        <w:numPr>
          <w:ilvl w:val="0"/>
          <w:numId w:val="2"/>
        </w:numPr>
        <w:spacing w:lineRule="exact" w:line="500" w:before="100" w:after="280"/>
        <w:rPr>
          <w:rFonts w:hint="eastAsia"/>
          <w:b/>
          <w:color w:val="C00000"/>
          <w:sz w:val="21"/>
          <w:szCs w:val="21"/>
        </w:rPr>
      </w:pPr>
      <w:r>
        <w:rPr>
          <w:rFonts w:hint="eastAsia"/>
          <w:b/>
          <w:color w:val="C00000"/>
          <w:sz w:val="21"/>
          <w:szCs w:val="21"/>
        </w:rPr>
        <w:t>报名材料</w:t>
      </w:r>
    </w:p>
    <w:p>
      <w:pPr>
        <w:pStyle w:val="Style21"/>
        <w:spacing w:lineRule="exact" w:line="500" w:before="100" w:after="100"/>
        <w:ind w:firstLineChars="300" w:startChars="0" w:start="0" w:endChars="0" w:end="0"/>
        <w:contextualSpacing/>
        <w:rPr>
          <w:rFonts w:hint="eastAsia"/>
          <w:sz w:val="21"/>
          <w:szCs w:val="21"/>
        </w:rPr>
      </w:pPr>
      <w:r>
        <w:rPr>
          <w:sz w:val="21"/>
          <w:szCs w:val="21"/>
        </w:rPr>
        <w:t>线上提交报名登记表、本人最后学历证书、学位证书、身份证扫描件和电子照片等材料</w:t>
      </w:r>
      <w:r>
        <w:rPr>
          <w:rFonts w:hint="eastAsia"/>
          <w:sz w:val="21"/>
          <w:szCs w:val="21"/>
        </w:rPr>
        <w:t>。</w:t>
      </w:r>
    </w:p>
    <w:p>
      <w:pPr>
        <w:pStyle w:val="Style21"/>
        <w:spacing w:lineRule="exact" w:line="500" w:before="100" w:after="100"/>
        <w:contextualSpacing/>
        <w:rPr>
          <w:b/>
          <w:color w:val="C00000"/>
          <w:sz w:val="21"/>
          <w:szCs w:val="21"/>
        </w:rPr>
      </w:pPr>
      <w:r>
        <w:rPr>
          <w:rFonts w:hint="eastAsia"/>
          <w:b/>
          <w:color w:val="C00000"/>
          <w:sz w:val="21"/>
          <w:szCs w:val="21"/>
        </w:rPr>
      </w:r>
    </w:p>
    <w:p>
      <w:pPr>
        <w:pStyle w:val="Style21"/>
        <w:spacing w:lineRule="exact" w:line="500" w:before="100" w:after="100"/>
        <w:contextualSpacing/>
        <w:rPr>
          <w:b/>
          <w:color w:val="C00000"/>
          <w:sz w:val="21"/>
          <w:szCs w:val="21"/>
        </w:rPr>
      </w:pPr>
      <w:r>
        <w:rPr>
          <w:b/>
          <w:color w:val="C00000"/>
          <w:sz w:val="21"/>
          <w:szCs w:val="21"/>
        </w:rPr>
        <w:t>八、</w:t>
      </w:r>
      <w:r>
        <w:rPr>
          <w:rFonts w:hint="eastAsia"/>
          <w:b/>
          <w:color w:val="C00000"/>
          <w:sz w:val="21"/>
          <w:szCs w:val="21"/>
        </w:rPr>
        <w:t>收费标准</w:t>
      </w:r>
    </w:p>
    <w:p>
      <w:pPr>
        <w:pStyle w:val="Style21"/>
        <w:spacing w:lineRule="exact" w:line="500" w:before="100" w:after="100"/>
        <w:ind w:firstLineChars="200" w:startChars="0" w:start="0" w:endChars="0" w:end="0"/>
        <w:contextualSpacing/>
        <w:rPr>
          <w:rFonts w:hint="eastAsia"/>
          <w:sz w:val="21"/>
          <w:szCs w:val="21"/>
        </w:rPr>
      </w:pPr>
      <w:r>
        <w:rPr>
          <w:rFonts w:hint="eastAsia"/>
          <w:sz w:val="21"/>
          <w:szCs w:val="21"/>
        </w:rPr>
        <w:t>培训费每人</w:t>
      </w:r>
      <w:r>
        <w:rPr>
          <w:rFonts w:hint="eastAsia"/>
          <w:sz w:val="21"/>
          <w:szCs w:val="21"/>
        </w:rPr>
        <w:t>38000</w:t>
      </w:r>
      <w:r>
        <w:rPr>
          <w:rFonts w:hint="eastAsia"/>
          <w:sz w:val="21"/>
          <w:szCs w:val="21"/>
        </w:rPr>
        <w:t>元，书费、资料费自理，费用一次性交清。</w:t>
      </w:r>
    </w:p>
    <w:p>
      <w:pPr>
        <w:pStyle w:val="Style21"/>
        <w:spacing w:lineRule="exact" w:line="500" w:before="100" w:after="100"/>
        <w:contextualSpacing/>
        <w:rPr>
          <w:sz w:val="21"/>
          <w:szCs w:val="21"/>
        </w:rPr>
      </w:pPr>
      <w:r>
        <w:rPr>
          <w:sz w:val="21"/>
          <w:szCs w:val="21"/>
        </w:rPr>
        <w:t>　</w:t>
      </w:r>
    </w:p>
    <w:p>
      <w:pPr>
        <w:pStyle w:val="Style21"/>
        <w:spacing w:lineRule="exact" w:line="500" w:before="100" w:after="100"/>
        <w:contextualSpacing/>
        <w:rPr>
          <w:b/>
          <w:color w:val="C00000"/>
          <w:sz w:val="21"/>
          <w:szCs w:val="21"/>
        </w:rPr>
      </w:pPr>
      <w:r>
        <w:rPr>
          <w:b/>
          <w:color w:val="C00000"/>
          <w:sz w:val="21"/>
          <w:szCs w:val="21"/>
        </w:rPr>
        <w:t>九、获取证书</w:t>
      </w:r>
    </w:p>
    <w:p>
      <w:pPr>
        <w:pStyle w:val="Style21"/>
        <w:spacing w:lineRule="atLeast" w:line="450" w:before="0" w:after="0"/>
        <w:ind w:firstLine="420" w:end="0"/>
        <w:jc w:val="both"/>
        <w:rPr>
          <w:rFonts w:hint="eastAsia"/>
          <w:sz w:val="21"/>
          <w:szCs w:val="21"/>
        </w:rPr>
      </w:pPr>
      <w:r>
        <w:rPr>
          <w:sz w:val="21"/>
          <w:szCs w:val="21"/>
        </w:rPr>
        <w:t>学员在规定期限内完成在职课程培训班的学习项目，通过规定的课程考试，</w:t>
      </w:r>
      <w:r>
        <w:rPr>
          <w:rFonts w:hint="eastAsia"/>
          <w:sz w:val="21"/>
          <w:szCs w:val="21"/>
        </w:rPr>
        <w:t>颁发中国人民大学培训结业证书。</w:t>
      </w:r>
    </w:p>
    <w:p>
      <w:pPr>
        <w:pStyle w:val="Style21"/>
        <w:spacing w:lineRule="exact" w:line="500" w:before="100" w:after="100"/>
        <w:contextualSpacing/>
        <w:rPr>
          <w:rFonts w:hint="eastAsia"/>
          <w:sz w:val="21"/>
          <w:szCs w:val="21"/>
        </w:rPr>
      </w:pPr>
      <w:r>
        <w:rPr>
          <w:rFonts w:hint="eastAsia"/>
          <w:sz w:val="21"/>
          <w:szCs w:val="21"/>
        </w:rPr>
      </w:r>
    </w:p>
    <w:sectPr>
      <w:headerReference w:type="default" r:id="rId3"/>
      <w:type w:val="nextPage"/>
      <w:pgSz w:w="11906" w:h="16838"/>
      <w:pgMar w:left="1800" w:right="1800" w:gutter="0" w:header="851" w:top="1440" w:footer="0" w:bottom="144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86"/>
    <w:family w:val="roman"/>
    <w:pitch w:val="variable"/>
  </w:font>
  <w:font w:name="宋体">
    <w:altName w:val="SimSun"/>
    <w:charset w:val="86"/>
    <w:family w:val="auto"/>
    <w:pitch w:val="variable"/>
  </w:font>
  <w:font w:name="Liberation Sans">
    <w:altName w:val="Arial"/>
    <w:charset w:val="86"/>
    <w:family w:val="swiss"/>
    <w:pitch w:val="variable"/>
  </w:font>
  <w:font w:name="Calibri">
    <w:charset w:val="00" w:characterSet="windows-1252"/>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lang w:val="zh-CN" w:eastAsia="zh-CN"/>
      </w:rPr>
      <w:drawing>
        <wp:anchor distT="0" distB="0" distL="114935" distR="114935" simplePos="0" relativeHeight="4" behindDoc="1" locked="0" layoutInCell="0" allowOverlap="1">
          <wp:simplePos x="0" y="0"/>
          <wp:positionH relativeFrom="margin">
            <wp:align>center</wp:align>
          </wp:positionH>
          <wp:positionV relativeFrom="margin">
            <wp:align>center</wp:align>
          </wp:positionV>
          <wp:extent cx="4472305" cy="4507865"/>
          <wp:effectExtent l="0" t="0" r="0" b="0"/>
          <wp:wrapNone/>
          <wp:docPr id="3" name="WordPictureWatermark1058209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58209720"/>
                  <pic:cNvPicPr>
                    <a:picLocks noChangeAspect="1" noChangeArrowheads="1"/>
                  </pic:cNvPicPr>
                </pic:nvPicPr>
                <pic:blipFill>
                  <a:blip r:embed="rId1">
                    <a:lum bright="70000" contrast="-70000"/>
                  </a:blip>
                  <a:srcRect l="-6" t="-6" r="-6" b="-6"/>
                  <a:stretch>
                    <a:fillRect/>
                  </a:stretch>
                </pic:blipFill>
                <pic:spPr bwMode="auto">
                  <a:xfrm>
                    <a:off x="0" y="0"/>
                    <a:ext cx="4472305" cy="4507865"/>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pStyle w:val="Heading6"/>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7"/>
      <w:numFmt w:val="chineseCountingThousand"/>
      <w:suff w:val="nothing"/>
      <w:lvlText w:val="%1、"/>
      <w:lvlJc w:val="start"/>
      <w:pPr>
        <w:tabs>
          <w:tab w:val="num" w:pos="0"/>
        </w:tabs>
        <w:ind w:start="0" w:hanging="0"/>
      </w:pPr>
      <w:rPr>
        <w:rFonts w:hint="eastAsia"/>
      </w:rPr>
    </w:lvl>
  </w:abstractNum>
  <w:abstractNum w:abstractNumId="3">
    <w:lvl w:ilvl="0">
      <w:start w:val="6"/>
      <w:numFmt w:val="chineseCountingThousand"/>
      <w:suff w:val="nothing"/>
      <w:lvlText w:val="%1、"/>
      <w:lvlJc w:val="start"/>
      <w:pPr>
        <w:tabs>
          <w:tab w:val="num" w:pos="0"/>
        </w:tabs>
        <w:ind w:start="0" w:hanging="0"/>
      </w:pPr>
      <w:rPr>
        <w:rFonts w:hint="eastAsia"/>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420"/>
  <w:autoHyphenation w:val="true"/>
  <w:hyphenationZone w:val="0"/>
  <w:compat>
    <w:doNotExpandShiftReturn/>
    <w:adjustLineHeightInTable/>
    <w:compatSetting w:name="compatibilityMode" w:uri="http://schemas.microsoft.com/office/word" w:val="11"/>
  </w:compat>
  <w:docVars>
    <w:docVar w:name="commondata" w:val="eyJoZGlkIjoiNGQ5ODQ5N2Q1NmI0ZDAwYTJiMTcyMmU3ZjhhMWE4NmEifQ=="/>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新宋体" w:cs="Lucida Sans"/>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2"/>
      <w:lang w:bidi="ar-SA" w:val="en-US" w:eastAsia="zh-CN"/>
    </w:rPr>
  </w:style>
  <w:style w:type="paragraph" w:styleId="Heading6">
    <w:name w:val="heading 6"/>
    <w:basedOn w:val="Normal"/>
    <w:next w:val="Normal"/>
    <w:qFormat/>
    <w:pPr>
      <w:numPr>
        <w:ilvl w:val="5"/>
        <w:numId w:val="1"/>
      </w:numPr>
      <w:spacing w:before="100" w:after="100"/>
      <w:jc w:val="start"/>
      <w:outlineLvl w:val="5"/>
    </w:pPr>
    <w:rPr>
      <w:rFonts w:ascii="宋体;SimSun" w:hAnsi="宋体;SimSun" w:cs="宋体;SimSun"/>
      <w:b/>
      <w:kern w:val="0"/>
      <w:sz w:val="15"/>
      <w:szCs w:val="15"/>
    </w:rPr>
  </w:style>
  <w:style w:type="character" w:styleId="WW8Num1z0">
    <w:name w:val="WW8Num1z0"/>
    <w:qFormat/>
    <w:rPr>
      <w:rFonts w:hint="eastAsia"/>
    </w:rPr>
  </w:style>
  <w:style w:type="character" w:styleId="WW8Num2z0">
    <w:name w:val="WW8Num2z0"/>
    <w:qFormat/>
    <w:rPr>
      <w:rFonts w:hint="eastAsia"/>
    </w:rPr>
  </w:style>
  <w:style w:type="character" w:styleId="WW8Num3z0">
    <w:name w:val="WW8Num3z0"/>
    <w:qFormat/>
    <w:rPr>
      <w:rFonts w:hint="eastAsia"/>
    </w:rPr>
  </w:style>
  <w:style w:type="character" w:styleId="Style13">
    <w:name w:val="默认段落字体"/>
    <w:qFormat/>
    <w:rPr/>
  </w:style>
  <w:style w:type="character" w:styleId="6">
    <w:name w:val="标题 6 字符"/>
    <w:qFormat/>
    <w:rPr>
      <w:rFonts w:ascii="宋体;SimSun" w:hAnsi="宋体;SimSun" w:cs="宋体;SimSun"/>
      <w:b/>
      <w:sz w:val="15"/>
      <w:szCs w:val="15"/>
    </w:rPr>
  </w:style>
  <w:style w:type="character" w:styleId="Style14">
    <w:name w:val="批注框文本 字符"/>
    <w:qFormat/>
    <w:rPr>
      <w:sz w:val="18"/>
      <w:szCs w:val="18"/>
    </w:rPr>
  </w:style>
  <w:style w:type="character" w:styleId="Style15">
    <w:name w:val="页脚 字符"/>
    <w:qFormat/>
    <w:rPr>
      <w:sz w:val="18"/>
      <w:szCs w:val="18"/>
    </w:rPr>
  </w:style>
  <w:style w:type="character" w:styleId="Style16">
    <w:name w:val="页眉 字符"/>
    <w:qFormat/>
    <w:rPr>
      <w:sz w:val="18"/>
      <w:szCs w:val="18"/>
    </w:rPr>
  </w:style>
  <w:style w:type="character" w:styleId="Emphasis">
    <w:name w:val="Emphasis"/>
    <w:qFormat/>
    <w:rPr>
      <w:i/>
    </w:rPr>
  </w:style>
  <w:style w:type="character" w:styleId="Hyperlink">
    <w:name w:val="Hyperlink"/>
    <w:rPr>
      <w:color w:val="0563C1"/>
      <w:u w:val="single"/>
    </w:rPr>
  </w:style>
  <w:style w:type="paragraph" w:styleId="Style17">
    <w:name w:val="标题样式"/>
    <w:basedOn w:val="Normal"/>
    <w:next w:val="BodyText"/>
    <w:qFormat/>
    <w:pPr>
      <w:keepNext w:val="true"/>
      <w:spacing w:before="240" w:after="120"/>
    </w:pPr>
    <w:rPr>
      <w:rFonts w:ascii="Liberation Sans" w:hAnsi="Liberation Sans" w:eastAsia="Noto Sans SC"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8">
    <w:name w:val="索引"/>
    <w:basedOn w:val="Normal"/>
    <w:qFormat/>
    <w:pPr>
      <w:suppressLineNumbers/>
    </w:pPr>
    <w:rPr>
      <w:rFonts w:cs="Lucida Sans"/>
    </w:rPr>
  </w:style>
  <w:style w:type="paragraph" w:styleId="Style19">
    <w:name w:val="批注框文本"/>
    <w:basedOn w:val="Normal"/>
    <w:qFormat/>
    <w:pPr/>
    <w:rPr>
      <w:kern w:val="0"/>
      <w:sz w:val="18"/>
      <w:szCs w:val="18"/>
    </w:rPr>
  </w:style>
  <w:style w:type="paragraph" w:styleId="Style20">
    <w:name w:val="页眉与页脚"/>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kern w:val="0"/>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kern w:val="0"/>
      <w:sz w:val="18"/>
      <w:szCs w:val="18"/>
    </w:rPr>
  </w:style>
  <w:style w:type="paragraph" w:styleId="Style21">
    <w:name w:val="普通(网站)"/>
    <w:basedOn w:val="Normal"/>
    <w:qFormat/>
    <w:pPr>
      <w:widowControl/>
      <w:spacing w:before="100" w:after="100"/>
      <w:jc w:val="start"/>
    </w:pPr>
    <w:rPr>
      <w:rFonts w:ascii="宋体;SimSun" w:hAnsi="宋体;SimSun" w:eastAsia="宋体;SimSun" w:cs="宋体;SimSun"/>
      <w:kern w:val="0"/>
      <w:sz w:val="24"/>
      <w:szCs w:val="24"/>
    </w:rPr>
  </w:style>
  <w:style w:type="paragraph" w:styleId="Style22">
    <w:name w:val="表格内容"/>
    <w:basedOn w:val="Normal"/>
    <w:qFormat/>
    <w:pPr>
      <w:widowControl w:val="false"/>
      <w:suppressLineNumbers/>
    </w:pPr>
    <w:rPr/>
  </w:style>
  <w:style w:type="paragraph" w:styleId="Style23">
    <w:name w:val="表格标题"/>
    <w:basedOn w:val="Style22"/>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19</TotalTime>
  <Application>LibreOffice/26.2.5.2$Windows_X86_64 LibreOffice_project/cd7284b4cbbfeb507e630c1aac019f4157393acb</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2021-01-23T14:22:00Z</dcterms:created>
  <dc:creator>Administrator</dc:creator>
  <dc:description/>
  <cp:keywords/>
  <dc:language>zh-CN</dc:language>
  <cp:lastModifiedBy>方源 杨</cp:lastModifiedBy>
  <dcterms:modified xsi:type="dcterms:W3CDTF">2026-12-28T11:03:00Z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577628C4984E439C903EE81F1AE656B9_13</vt:lpwstr>
  </property>
  <property fmtid="{D5CDD505-2E9C-101B-9397-08002B2CF9AE}" pid="3" name="KSOProductBuildVer">
    <vt:lpwstr>2052-12.1.0.16120</vt:lpwstr>
  </property>
</Properties>
</file>