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1"/>
        <w:snapToGrid w:val="false"/>
        <w:spacing w:lineRule="exact" w:line="500" w:before="0" w:after="100"/>
        <w:ind w:hangingChars="600" w:startChars="0" w:start="0" w:endChars="0" w:end="0"/>
        <w:rPr>
          <w:rFonts w:hint="eastAsia"/>
          <w:b/>
          <w:sz w:val="21"/>
          <w:szCs w:val="21"/>
          <w:lang w:val="zh-CN" w:eastAsia="zh-CN"/>
        </w:rPr>
      </w:pPr>
      <w:r>
        <w:drawing>
          <wp:anchor distT="0" distB="0" distL="114935" distR="114935" simplePos="0" relativeHeight="7" behindDoc="0" locked="0" layoutInCell="1" allowOverlap="1">
            <wp:simplePos x="0" y="0"/>
            <wp:positionH relativeFrom="column">
              <wp:posOffset>790575</wp:posOffset>
            </wp:positionH>
            <wp:positionV relativeFrom="paragraph">
              <wp:posOffset>-152400</wp:posOffset>
            </wp:positionV>
            <wp:extent cx="3457575" cy="107632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
                    <a:srcRect l="-5" t="-17" r="-5" b="-17"/>
                    <a:stretch>
                      <a:fillRect/>
                    </a:stretch>
                  </pic:blipFill>
                  <pic:spPr bwMode="auto">
                    <a:xfrm>
                      <a:off x="0" y="0"/>
                      <a:ext cx="3457575" cy="1076325"/>
                    </a:xfrm>
                    <a:prstGeom prst="rect">
                      <a:avLst/>
                    </a:prstGeom>
                    <a:noFill/>
                  </pic:spPr>
                </pic:pic>
              </a:graphicData>
            </a:graphic>
          </wp:anchor>
        </w:drawing>
      </w:r>
      <w:r>
        <w:rPr>
          <w:b/>
          <w:sz w:val="21"/>
          <w:szCs w:val="21"/>
        </w:rPr>
        <w:t>　</w:t>
      </w:r>
    </w:p>
    <w:p>
      <w:pPr>
        <w:pStyle w:val="Style21"/>
        <w:snapToGrid w:val="false"/>
        <w:spacing w:lineRule="exact" w:line="500" w:before="100" w:after="100"/>
        <w:ind w:hangingChars="600" w:startChars="0" w:start="0" w:endChars="0" w:end="0"/>
        <w:contextualSpacing/>
        <w:rPr>
          <w:rFonts w:hint="eastAsia"/>
          <w:b/>
          <w:sz w:val="21"/>
          <w:szCs w:val="21"/>
          <w:lang w:val="zh-CN" w:eastAsia="zh-CN"/>
        </w:rPr>
      </w:pPr>
      <w:r>
        <w:rPr>
          <w:rFonts w:hint="eastAsia"/>
          <w:b/>
          <w:sz w:val="21"/>
          <w:szCs w:val="21"/>
          <w:lang w:val="zh-CN" w:eastAsia="zh-CN"/>
        </w:rPr>
      </w:r>
    </w:p>
    <w:p>
      <w:pPr>
        <w:pStyle w:val="Style21"/>
        <w:tabs>
          <w:tab w:val="clear" w:pos="420"/>
          <w:tab w:val="left" w:pos="7530" w:leader="none"/>
        </w:tabs>
        <w:snapToGrid w:val="false"/>
        <w:spacing w:lineRule="exact" w:line="500" w:before="100" w:after="100"/>
        <w:ind w:hangingChars="600" w:startChars="0" w:start="0" w:endChars="0" w:end="0"/>
        <w:contextualSpacing/>
        <w:rPr>
          <w:rFonts w:hint="eastAsia"/>
          <w:b/>
          <w:sz w:val="21"/>
          <w:szCs w:val="21"/>
          <w:lang w:val="zh-CN" w:eastAsia="zh-CN"/>
        </w:rPr>
      </w:pPr>
      <w:r>
        <w:rPr>
          <w:b/>
          <w:sz w:val="21"/>
          <w:szCs w:val="21"/>
          <w:lang w:val="zh-CN" w:eastAsia="zh-CN"/>
        </w:rPr>
        <w:tab/>
      </w:r>
    </w:p>
    <w:p>
      <w:pPr>
        <w:pStyle w:val="Style21"/>
        <w:spacing w:lineRule="exact" w:line="500" w:before="100" w:after="100"/>
        <w:contextualSpacing/>
        <w:jc w:val="center"/>
        <w:rPr>
          <w:b/>
          <w:bCs/>
          <w:sz w:val="30"/>
          <w:szCs w:val="30"/>
        </w:rPr>
      </w:pPr>
      <w:r>
        <w:rPr>
          <w:b/>
          <w:bCs/>
          <w:sz w:val="30"/>
          <w:szCs w:val="30"/>
        </w:rPr>
        <w:t>202</w:t>
      </w:r>
      <w:r>
        <w:rPr>
          <w:rFonts w:hint="eastAsia"/>
          <w:b/>
          <w:bCs/>
          <w:sz w:val="30"/>
          <w:szCs w:val="30"/>
        </w:rPr>
        <w:t>5</w:t>
      </w:r>
      <w:r>
        <w:rPr>
          <w:b/>
          <w:bCs/>
          <w:sz w:val="30"/>
          <w:szCs w:val="30"/>
        </w:rPr>
        <w:t>年中国人民大学心理学系应用心理学专业</w:t>
      </w:r>
    </w:p>
    <w:p>
      <w:pPr>
        <w:pStyle w:val="Style21"/>
        <w:spacing w:lineRule="exact" w:line="500" w:before="100" w:after="100"/>
        <w:contextualSpacing/>
        <w:jc w:val="center"/>
        <w:rPr>
          <w:b/>
          <w:bCs/>
          <w:sz w:val="30"/>
          <w:szCs w:val="30"/>
        </w:rPr>
      </w:pPr>
      <w:r>
        <w:rPr>
          <w:b/>
          <w:bCs/>
          <w:sz w:val="30"/>
          <w:szCs w:val="30"/>
        </w:rPr>
        <w:t>在职课程培训班</w:t>
      </w:r>
    </w:p>
    <w:p>
      <w:pPr>
        <w:pStyle w:val="Style21"/>
        <w:spacing w:lineRule="exact" w:line="500" w:before="100" w:after="100"/>
        <w:contextualSpacing/>
        <w:rPr>
          <w:sz w:val="21"/>
          <w:szCs w:val="21"/>
        </w:rPr>
      </w:pPr>
      <w:r>
        <mc:AlternateContent>
          <mc:Choice Requires="wps">
            <w:drawing>
              <wp:anchor distT="0" distB="0" distL="114935" distR="114935" simplePos="0" relativeHeight="6" behindDoc="0" locked="0" layoutInCell="1" allowOverlap="1">
                <wp:simplePos x="0" y="0"/>
                <wp:positionH relativeFrom="column">
                  <wp:posOffset>9525</wp:posOffset>
                </wp:positionH>
                <wp:positionV relativeFrom="paragraph">
                  <wp:posOffset>203200</wp:posOffset>
                </wp:positionV>
                <wp:extent cx="5477510" cy="1270"/>
                <wp:effectExtent l="635" t="3175" r="635" b="3175"/>
                <wp:wrapNone/>
                <wp:docPr id="2" name="自选图形 6"/>
                <a:graphic xmlns:a="http://schemas.openxmlformats.org/drawingml/2006/main">
                  <a:graphicData uri="http://schemas.microsoft.com/office/word/2010/wordprocessingShape">
                    <wps:wsp>
                      <wps:cNvCnPr/>
                      <wps:spPr>
                        <a:xfrm>
                          <a:off x="0" y="0"/>
                          <a:ext cx="5478120" cy="1800"/>
                        </a:xfrm>
                        <a:prstGeom prst="straightConnector1">
                          <a:avLst/>
                        </a:prstGeom>
                        <a:ln w="6480">
                          <a:solidFill>
                            <a:srgbClr val="C00000"/>
                          </a:solidFill>
                          <a:miter/>
                        </a:ln>
                      </wps:spPr>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f" style="position:absolute;margin-left:0.75pt;margin-top:16pt;width:431.3pt;height:0.1pt" type="_x0000_t32">
                <v:stroke color="#c00000" weight="6480" joinstyle="miter" endcap="flat"/>
                <v:fill o:detectmouseclick="t" on="false"/>
                <w10:wrap type="none"/>
              </v:shape>
            </w:pict>
          </mc:Fallback>
        </mc:AlternateContent>
      </w:r>
      <w:r>
        <w:rPr>
          <w:sz w:val="21"/>
          <w:szCs w:val="21"/>
        </w:rPr>
        <w:t>　　</w:t>
      </w:r>
    </w:p>
    <w:p>
      <w:pPr>
        <w:pStyle w:val="Style21"/>
        <w:spacing w:lineRule="exact" w:line="500" w:before="100" w:after="100"/>
        <w:contextualSpacing/>
        <w:rPr>
          <w:sz w:val="21"/>
          <w:szCs w:val="21"/>
        </w:rPr>
      </w:pPr>
      <w:r>
        <w:rPr>
          <w:sz w:val="21"/>
          <w:szCs w:val="21"/>
        </w:rPr>
        <w:t>培训类别：</w:t>
      </w:r>
      <w:r>
        <w:rPr>
          <w:color w:val="C00000"/>
          <w:sz w:val="21"/>
          <w:szCs w:val="21"/>
        </w:rPr>
        <w:t>课程班</w:t>
      </w:r>
      <w:r>
        <w:rPr>
          <w:color w:val="C00000"/>
          <w:sz w:val="21"/>
          <w:szCs w:val="21"/>
        </w:rPr>
        <w:t>[</w:t>
      </w:r>
      <w:r>
        <w:rPr>
          <w:rFonts w:hint="eastAsia"/>
          <w:color w:val="C00000"/>
          <w:sz w:val="21"/>
          <w:szCs w:val="21"/>
        </w:rPr>
        <w:t>理工</w:t>
      </w:r>
      <w:r>
        <w:rPr>
          <w:color w:val="C00000"/>
          <w:sz w:val="21"/>
          <w:szCs w:val="21"/>
        </w:rPr>
        <w:t>]</w:t>
      </w:r>
      <w:r>
        <w:rPr>
          <w:sz w:val="21"/>
          <w:szCs w:val="21"/>
        </w:rPr>
        <w:t xml:space="preserve">      </w:t>
      </w:r>
      <w:r>
        <w:rPr>
          <w:sz w:val="21"/>
          <w:szCs w:val="21"/>
        </w:rPr>
        <w:t>培训费：</w:t>
      </w:r>
      <w:r>
        <w:rPr>
          <w:rFonts w:hint="eastAsia"/>
          <w:color w:val="C00000"/>
          <w:sz w:val="21"/>
          <w:szCs w:val="21"/>
        </w:rPr>
        <w:t>460</w:t>
      </w:r>
      <w:r>
        <w:rPr>
          <w:color w:val="C00000"/>
          <w:sz w:val="21"/>
          <w:szCs w:val="21"/>
        </w:rPr>
        <w:t>00.00</w:t>
      </w:r>
      <w:r>
        <w:rPr>
          <w:color w:val="C00000"/>
          <w:sz w:val="21"/>
          <w:szCs w:val="21"/>
        </w:rPr>
        <w:t xml:space="preserve">元 </w:t>
      </w:r>
      <w:r>
        <w:rPr>
          <w:sz w:val="21"/>
          <w:szCs w:val="21"/>
        </w:rPr>
        <w:t xml:space="preserve">    主办单位：</w:t>
      </w:r>
      <w:r>
        <w:rPr>
          <w:rFonts w:hint="eastAsia"/>
          <w:color w:val="C00000"/>
          <w:sz w:val="21"/>
          <w:szCs w:val="21"/>
        </w:rPr>
        <w:t>心理学系</w:t>
      </w:r>
    </w:p>
    <w:p>
      <w:pPr>
        <w:pStyle w:val="Normal"/>
        <w:spacing w:lineRule="exact" w:line="500"/>
        <w:ind w:firstLineChars="200" w:startChars="0" w:start="0" w:endChars="0" w:end="0"/>
        <w:rPr>
          <w:rFonts w:ascii="宋体;SimSun" w:hAnsi="宋体;SimSun" w:cs="宋体;SimSun"/>
          <w:szCs w:val="21"/>
        </w:rPr>
      </w:pPr>
      <w:r>
        <w:rPr>
          <w:rFonts w:ascii="宋体;SimSun" w:hAnsi="宋体;SimSun" w:cs="宋体;SimSun" w:hint="eastAsia"/>
          <w:szCs w:val="21"/>
        </w:rPr>
        <w:t>中国人民大学是一所以人文社会科学为主的综合性研究型全国重点大学。学校是国家“</w:t>
      </w:r>
      <w:r>
        <w:rPr>
          <w:rFonts w:cs="宋体;SimSun" w:hint="eastAsia" w:ascii="宋体;SimSun" w:hAnsi="宋体;SimSun"/>
          <w:szCs w:val="21"/>
        </w:rPr>
        <w:t>985</w:t>
      </w:r>
      <w:r>
        <w:rPr>
          <w:rFonts w:ascii="宋体;SimSun" w:hAnsi="宋体;SimSun" w:cs="宋体;SimSun" w:hint="eastAsia"/>
          <w:szCs w:val="21"/>
        </w:rPr>
        <w:t>工程”和“</w:t>
      </w:r>
      <w:r>
        <w:rPr>
          <w:rFonts w:cs="宋体;SimSun" w:hint="eastAsia" w:ascii="宋体;SimSun" w:hAnsi="宋体;SimSun"/>
          <w:szCs w:val="21"/>
        </w:rPr>
        <w:t>211</w:t>
      </w:r>
      <w:r>
        <w:rPr>
          <w:rFonts w:ascii="宋体;SimSun" w:hAnsi="宋体;SimSun" w:cs="宋体;SimSun" w:hint="eastAsia"/>
          <w:szCs w:val="21"/>
        </w:rPr>
        <w:t>工程”重点建设的大学之一，在长期办学实践中成绩显著被誉为“我国人文社会科学高等教育领域的一面旗帜”。</w:t>
      </w:r>
    </w:p>
    <w:p>
      <w:pPr>
        <w:pStyle w:val="Style21"/>
        <w:numPr>
          <w:ilvl w:val="0"/>
          <w:numId w:val="2"/>
        </w:numPr>
        <w:spacing w:lineRule="exact" w:line="500" w:before="100" w:after="280"/>
        <w:rPr>
          <w:b/>
          <w:color w:val="C00000"/>
          <w:sz w:val="21"/>
          <w:szCs w:val="21"/>
        </w:rPr>
      </w:pPr>
      <w:r>
        <w:rPr>
          <w:b/>
          <w:color w:val="C00000"/>
          <w:sz w:val="21"/>
          <w:szCs w:val="21"/>
        </w:rPr>
        <w:t>学院及专业优势简介</w:t>
      </w:r>
    </w:p>
    <w:p>
      <w:pPr>
        <w:pStyle w:val="Style21"/>
        <w:spacing w:lineRule="exact" w:line="500" w:before="100" w:after="100"/>
        <w:ind w:firstLineChars="200" w:startChars="0" w:start="0" w:endChars="0" w:end="0"/>
        <w:contextualSpacing/>
        <w:rPr>
          <w:bCs/>
          <w:sz w:val="21"/>
          <w:szCs w:val="21"/>
        </w:rPr>
      </w:pPr>
      <w:r>
        <w:rPr>
          <w:bCs/>
          <w:sz w:val="21"/>
          <w:szCs w:val="21"/>
        </w:rPr>
        <w:t>中国人民大学是我国较早开展心理学学科建设的高校之一，早在</w:t>
      </w:r>
      <w:r>
        <w:rPr>
          <w:bCs/>
          <w:sz w:val="21"/>
          <w:szCs w:val="21"/>
        </w:rPr>
        <w:t>20</w:t>
      </w:r>
      <w:r>
        <w:rPr>
          <w:bCs/>
          <w:sz w:val="21"/>
          <w:szCs w:val="21"/>
        </w:rPr>
        <w:t>世纪</w:t>
      </w:r>
      <w:r>
        <w:rPr>
          <w:bCs/>
          <w:sz w:val="21"/>
          <w:szCs w:val="21"/>
        </w:rPr>
        <w:t>50</w:t>
      </w:r>
      <w:r>
        <w:rPr>
          <w:bCs/>
          <w:sz w:val="21"/>
          <w:szCs w:val="21"/>
        </w:rPr>
        <w:t>年代，就培养了新中国第一批心理学专业研究生。</w:t>
      </w:r>
      <w:r>
        <w:rPr>
          <w:bCs/>
          <w:sz w:val="21"/>
          <w:szCs w:val="21"/>
        </w:rPr>
        <w:t>2009</w:t>
      </w:r>
      <w:r>
        <w:rPr>
          <w:bCs/>
          <w:sz w:val="21"/>
          <w:szCs w:val="21"/>
        </w:rPr>
        <w:t>年，中国人民大学在原有学科基础上设立心理学系，同年开始招收应用心理学专业本科生。目前，心理学系拥有应用心理学国家级一流本科专业建设点，心理学一级学科硕士授予权（学术硕士）和应用心理专业硕士授予权，社会心理学和心理语言学两个二级学科博士授予权及相应硕士授予权。近年来，人大心理学的学科和专业建设取得了突出成绩。在国家最新的第五轮学科评估中，人大心理学科被评为“</w:t>
      </w:r>
      <w:r>
        <w:rPr>
          <w:bCs/>
          <w:sz w:val="21"/>
          <w:szCs w:val="21"/>
        </w:rPr>
        <w:t>B+”</w:t>
      </w:r>
      <w:r>
        <w:rPr>
          <w:bCs/>
          <w:sz w:val="21"/>
          <w:szCs w:val="21"/>
        </w:rPr>
        <w:t>学科；</w:t>
      </w:r>
      <w:r>
        <w:rPr>
          <w:bCs/>
          <w:sz w:val="21"/>
          <w:szCs w:val="21"/>
        </w:rPr>
        <w:t>2021</w:t>
      </w:r>
      <w:r>
        <w:rPr>
          <w:bCs/>
          <w:sz w:val="21"/>
          <w:szCs w:val="21"/>
        </w:rPr>
        <w:t>年，心理学科进入全球心理学与精神病学科</w:t>
      </w:r>
      <w:r>
        <w:rPr>
          <w:bCs/>
          <w:sz w:val="21"/>
          <w:szCs w:val="21"/>
        </w:rPr>
        <w:t>ESI</w:t>
      </w:r>
      <w:r>
        <w:rPr>
          <w:bCs/>
          <w:sz w:val="21"/>
          <w:szCs w:val="21"/>
        </w:rPr>
        <w:t>排名前</w:t>
      </w:r>
      <w:r>
        <w:rPr>
          <w:bCs/>
          <w:sz w:val="21"/>
          <w:szCs w:val="21"/>
        </w:rPr>
        <w:t>1%</w:t>
      </w:r>
      <w:r>
        <w:rPr>
          <w:bCs/>
          <w:sz w:val="21"/>
          <w:szCs w:val="21"/>
        </w:rPr>
        <w:t>；</w:t>
      </w:r>
      <w:r>
        <w:rPr>
          <w:bCs/>
          <w:sz w:val="21"/>
          <w:szCs w:val="21"/>
        </w:rPr>
        <w:t>2023</w:t>
      </w:r>
      <w:r>
        <w:rPr>
          <w:bCs/>
          <w:sz w:val="21"/>
          <w:szCs w:val="21"/>
        </w:rPr>
        <w:t>年</w:t>
      </w:r>
      <w:r>
        <w:rPr>
          <w:bCs/>
          <w:sz w:val="21"/>
          <w:szCs w:val="21"/>
        </w:rPr>
        <w:t>QS</w:t>
      </w:r>
      <w:r>
        <w:rPr>
          <w:bCs/>
          <w:sz w:val="21"/>
          <w:szCs w:val="21"/>
        </w:rPr>
        <w:t>世界大学心理学专业排名中，位居中国内地高校第</w:t>
      </w:r>
      <w:r>
        <w:rPr>
          <w:bCs/>
          <w:sz w:val="21"/>
          <w:szCs w:val="21"/>
        </w:rPr>
        <w:t>4</w:t>
      </w:r>
      <w:r>
        <w:rPr>
          <w:bCs/>
          <w:sz w:val="21"/>
          <w:szCs w:val="21"/>
        </w:rPr>
        <w:t>名。</w:t>
      </w:r>
    </w:p>
    <w:p>
      <w:pPr>
        <w:pStyle w:val="Style21"/>
        <w:spacing w:lineRule="exact" w:line="500" w:before="100" w:after="100"/>
        <w:ind w:firstLineChars="200" w:startChars="0" w:start="0" w:endChars="0" w:end="0"/>
        <w:contextualSpacing/>
        <w:rPr>
          <w:bCs/>
          <w:sz w:val="21"/>
          <w:szCs w:val="21"/>
        </w:rPr>
      </w:pPr>
      <w:r>
        <w:rPr>
          <w:bCs/>
          <w:sz w:val="21"/>
          <w:szCs w:val="21"/>
        </w:rPr>
        <w:t>根据学校的总体战略部署，当前心理学系的学科定位是打造“人民心理”学科品牌，强调心理学不仅要研究人类，更要研究人民并服务人民，力图走出一条具有人大特色的学科发展新路。心理学系的学科布局是“旗帜性的社会心理学，特色化的应用心理学，前沿性的基础心理学”。其中，社会心理学是人大心理学科的旗帜所在，侧重理论和实验社会心理学、社会治理心理学、文化心理学等方向，努力为中国之治、中国式现代化、文化自信、民族团结提供心理学视角的学理解释和实践对策；应用心理学聚焦于国民心理健康、企业与组织心理学、经济心理学等特色化方向，以探究国民健康、经济建设、企业发展等领域的重要心理学问题并寻求改善之道为目标；基础心理学专注于社会认知神经科学、心理语言学、情绪心理学等方向，聚焦国际前沿科学问题，开展学术攻关。</w:t>
      </w:r>
    </w:p>
    <w:p>
      <w:pPr>
        <w:pStyle w:val="Style21"/>
        <w:spacing w:lineRule="exact" w:line="500" w:before="100" w:after="100"/>
        <w:ind w:firstLineChars="200" w:startChars="0" w:start="0" w:endChars="0" w:end="0"/>
        <w:contextualSpacing/>
        <w:rPr>
          <w:bCs/>
          <w:sz w:val="21"/>
          <w:szCs w:val="21"/>
        </w:rPr>
      </w:pPr>
      <w:r>
        <w:rPr>
          <w:bCs/>
          <w:sz w:val="21"/>
          <w:szCs w:val="21"/>
        </w:rPr>
        <w:t>基于上述学科定位和布局，心理学系围绕国家发展和社会需求开展科学研究与人才培养工作。为推进学科发展，心理学系在教师自主科研基础上，着力以“社会心理科学与工程”为主攻方向开展有组织科研，通过社会、经济和文化心理调查、社会心理和神经科学实验开展基础科学研究，围绕社会治理心理学、企业和组织心理学开展应用科学研究，面向社会心理服务、心理健康服务开展专项工程研究，努力建构心理学的中国自主知识体系，服务人的全面发展和中国式现代化事业。</w:t>
      </w:r>
    </w:p>
    <w:p>
      <w:pPr>
        <w:pStyle w:val="Style21"/>
        <w:spacing w:lineRule="exact" w:line="500" w:before="100" w:after="100"/>
        <w:ind w:firstLineChars="200" w:startChars="0" w:start="0" w:endChars="0" w:end="0"/>
        <w:contextualSpacing/>
        <w:rPr>
          <w:bCs/>
          <w:sz w:val="21"/>
          <w:szCs w:val="21"/>
        </w:rPr>
      </w:pPr>
      <w:r>
        <w:rPr>
          <w:bCs/>
          <w:sz w:val="21"/>
          <w:szCs w:val="21"/>
        </w:rPr>
        <w:t>心理学系在本、硕、博三个层次培养可堪国家使命，具备良好品德与专业知识能力，善于深刻洞见人性本质，洞察人类心理和行为规律，具有学术创新精神和实践应用能力的心理学人才。心理学人才培养的目标框架是“育才”模型（</w:t>
      </w:r>
      <w:r>
        <w:rPr>
          <w:bCs/>
          <w:sz w:val="21"/>
          <w:szCs w:val="21"/>
        </w:rPr>
        <w:t>Make-I-Talent</w:t>
      </w:r>
      <w:r>
        <w:rPr>
          <w:bCs/>
          <w:sz w:val="21"/>
          <w:szCs w:val="21"/>
        </w:rPr>
        <w:t>，</w:t>
      </w:r>
      <w:r>
        <w:rPr>
          <w:bCs/>
          <w:sz w:val="21"/>
          <w:szCs w:val="21"/>
        </w:rPr>
        <w:t>MIT</w:t>
      </w:r>
      <w:r>
        <w:rPr>
          <w:bCs/>
          <w:sz w:val="21"/>
          <w:szCs w:val="21"/>
        </w:rPr>
        <w:t>模型；字面为“让我成才”“造就人才”，简称“育才”</w:t>
      </w:r>
      <w:r>
        <w:rPr>
          <w:bCs/>
          <w:sz w:val="21"/>
          <w:szCs w:val="21"/>
        </w:rPr>
        <w:t>)</w:t>
      </w:r>
      <w:r>
        <w:rPr>
          <w:bCs/>
          <w:sz w:val="21"/>
          <w:szCs w:val="21"/>
        </w:rPr>
        <w:t>。该模型包括</w:t>
      </w:r>
      <w:r>
        <w:rPr>
          <w:bCs/>
          <w:sz w:val="21"/>
          <w:szCs w:val="21"/>
        </w:rPr>
        <w:t>6</w:t>
      </w:r>
      <w:r>
        <w:rPr>
          <w:bCs/>
          <w:sz w:val="21"/>
          <w:szCs w:val="21"/>
        </w:rPr>
        <w:t>个核心概念：（</w:t>
      </w:r>
      <w:r>
        <w:rPr>
          <w:bCs/>
          <w:sz w:val="21"/>
          <w:szCs w:val="21"/>
        </w:rPr>
        <w:t>1</w:t>
      </w:r>
      <w:r>
        <w:rPr>
          <w:bCs/>
          <w:sz w:val="21"/>
          <w:szCs w:val="21"/>
        </w:rPr>
        <w:t>）使命（</w:t>
      </w:r>
      <w:r>
        <w:rPr>
          <w:bCs/>
          <w:sz w:val="21"/>
          <w:szCs w:val="21"/>
        </w:rPr>
        <w:t>Mission</w:t>
      </w:r>
      <w:r>
        <w:rPr>
          <w:bCs/>
          <w:sz w:val="21"/>
          <w:szCs w:val="21"/>
        </w:rPr>
        <w:t>）：复兴栋梁，强国先锋。（</w:t>
      </w:r>
      <w:r>
        <w:rPr>
          <w:bCs/>
          <w:sz w:val="21"/>
          <w:szCs w:val="21"/>
        </w:rPr>
        <w:t>2</w:t>
      </w:r>
      <w:r>
        <w:rPr>
          <w:bCs/>
          <w:sz w:val="21"/>
          <w:szCs w:val="21"/>
        </w:rPr>
        <w:t>）能力（</w:t>
      </w:r>
      <w:r>
        <w:rPr>
          <w:bCs/>
          <w:sz w:val="21"/>
          <w:szCs w:val="21"/>
        </w:rPr>
        <w:t>Ability</w:t>
      </w:r>
      <w:r>
        <w:rPr>
          <w:bCs/>
          <w:sz w:val="21"/>
          <w:szCs w:val="21"/>
        </w:rPr>
        <w:t>）：研究能力，实践能力。（</w:t>
      </w:r>
      <w:r>
        <w:rPr>
          <w:bCs/>
          <w:sz w:val="21"/>
          <w:szCs w:val="21"/>
        </w:rPr>
        <w:t>3</w:t>
      </w:r>
      <w:r>
        <w:rPr>
          <w:bCs/>
          <w:sz w:val="21"/>
          <w:szCs w:val="21"/>
        </w:rPr>
        <w:t>）知识（</w:t>
      </w:r>
      <w:r>
        <w:rPr>
          <w:bCs/>
          <w:sz w:val="21"/>
          <w:szCs w:val="21"/>
        </w:rPr>
        <w:t>Knowledge</w:t>
      </w:r>
      <w:r>
        <w:rPr>
          <w:bCs/>
          <w:sz w:val="21"/>
          <w:szCs w:val="21"/>
        </w:rPr>
        <w:t>）：理论知识，方法知识。（</w:t>
      </w:r>
      <w:r>
        <w:rPr>
          <w:bCs/>
          <w:sz w:val="21"/>
          <w:szCs w:val="21"/>
        </w:rPr>
        <w:t>4</w:t>
      </w:r>
      <w:r>
        <w:rPr>
          <w:bCs/>
          <w:sz w:val="21"/>
          <w:szCs w:val="21"/>
        </w:rPr>
        <w:t>）品德（</w:t>
      </w:r>
      <w:r>
        <w:rPr>
          <w:bCs/>
          <w:sz w:val="21"/>
          <w:szCs w:val="21"/>
        </w:rPr>
        <w:t>Ethic</w:t>
      </w:r>
      <w:r>
        <w:rPr>
          <w:bCs/>
          <w:sz w:val="21"/>
          <w:szCs w:val="21"/>
        </w:rPr>
        <w:t>）：内修德性，外展德行。（</w:t>
      </w:r>
      <w:r>
        <w:rPr>
          <w:bCs/>
          <w:sz w:val="21"/>
          <w:szCs w:val="21"/>
        </w:rPr>
        <w:t>5</w:t>
      </w:r>
      <w:r>
        <w:rPr>
          <w:bCs/>
          <w:sz w:val="21"/>
          <w:szCs w:val="21"/>
        </w:rPr>
        <w:t>）洞见（</w:t>
      </w:r>
      <w:r>
        <w:rPr>
          <w:bCs/>
          <w:sz w:val="21"/>
          <w:szCs w:val="21"/>
        </w:rPr>
        <w:t>Insight</w:t>
      </w:r>
      <w:r>
        <w:rPr>
          <w:bCs/>
          <w:sz w:val="21"/>
          <w:szCs w:val="21"/>
        </w:rPr>
        <w:t>）：洞见人性，洞察人心。（</w:t>
      </w:r>
      <w:r>
        <w:rPr>
          <w:bCs/>
          <w:sz w:val="21"/>
          <w:szCs w:val="21"/>
        </w:rPr>
        <w:t>6</w:t>
      </w:r>
      <w:r>
        <w:rPr>
          <w:bCs/>
          <w:sz w:val="21"/>
          <w:szCs w:val="21"/>
        </w:rPr>
        <w:t>）人才（</w:t>
      </w:r>
      <w:r>
        <w:rPr>
          <w:bCs/>
          <w:sz w:val="21"/>
          <w:szCs w:val="21"/>
        </w:rPr>
        <w:t>Talent</w:t>
      </w:r>
      <w:r>
        <w:rPr>
          <w:bCs/>
          <w:sz w:val="21"/>
          <w:szCs w:val="21"/>
        </w:rPr>
        <w:t>）：学术人才，应用人才。六个方面有机结合，形成全面育人的目标体系。</w:t>
      </w:r>
    </w:p>
    <w:p>
      <w:pPr>
        <w:pStyle w:val="Style21"/>
        <w:spacing w:lineRule="exact" w:line="500" w:before="100" w:after="100"/>
        <w:ind w:firstLineChars="200" w:startChars="0" w:start="0" w:endChars="0" w:end="0"/>
        <w:contextualSpacing/>
        <w:rPr>
          <w:bCs/>
          <w:sz w:val="21"/>
          <w:szCs w:val="21"/>
        </w:rPr>
      </w:pPr>
      <w:r>
        <w:rPr>
          <w:bCs/>
          <w:sz w:val="21"/>
          <w:szCs w:val="21"/>
        </w:rPr>
        <w:t>心理学系目前拥有一支优秀的师资团队，共有教师</w:t>
      </w:r>
      <w:r>
        <w:rPr>
          <w:bCs/>
          <w:sz w:val="21"/>
          <w:szCs w:val="21"/>
        </w:rPr>
        <w:t>30</w:t>
      </w:r>
      <w:r>
        <w:rPr>
          <w:bCs/>
          <w:sz w:val="21"/>
          <w:szCs w:val="21"/>
        </w:rPr>
        <w:t>人，其中专职教师</w:t>
      </w:r>
      <w:r>
        <w:rPr>
          <w:bCs/>
          <w:sz w:val="21"/>
          <w:szCs w:val="21"/>
        </w:rPr>
        <w:t>24</w:t>
      </w:r>
      <w:r>
        <w:rPr>
          <w:bCs/>
          <w:sz w:val="21"/>
          <w:szCs w:val="21"/>
        </w:rPr>
        <w:t>人（教授</w:t>
      </w:r>
      <w:r>
        <w:rPr>
          <w:bCs/>
          <w:sz w:val="21"/>
          <w:szCs w:val="21"/>
        </w:rPr>
        <w:t>9</w:t>
      </w:r>
      <w:r>
        <w:rPr>
          <w:bCs/>
          <w:sz w:val="21"/>
          <w:szCs w:val="21"/>
        </w:rPr>
        <w:t>人、副教授</w:t>
      </w:r>
      <w:r>
        <w:rPr>
          <w:bCs/>
          <w:sz w:val="21"/>
          <w:szCs w:val="21"/>
        </w:rPr>
        <w:t>12</w:t>
      </w:r>
      <w:r>
        <w:rPr>
          <w:bCs/>
          <w:sz w:val="21"/>
          <w:szCs w:val="21"/>
        </w:rPr>
        <w:t>人、讲师</w:t>
      </w:r>
      <w:r>
        <w:rPr>
          <w:bCs/>
          <w:sz w:val="21"/>
          <w:szCs w:val="21"/>
        </w:rPr>
        <w:t>3</w:t>
      </w:r>
      <w:r>
        <w:rPr>
          <w:bCs/>
          <w:sz w:val="21"/>
          <w:szCs w:val="21"/>
        </w:rPr>
        <w:t>人），今后将继续加强师资队伍建设，扩员提质，确保学科发展的人才支撑。心理学系目前有</w:t>
      </w:r>
      <w:r>
        <w:rPr>
          <w:bCs/>
          <w:sz w:val="21"/>
          <w:szCs w:val="21"/>
        </w:rPr>
        <w:t>10</w:t>
      </w:r>
      <w:r>
        <w:rPr>
          <w:bCs/>
          <w:sz w:val="21"/>
          <w:szCs w:val="21"/>
        </w:rPr>
        <w:t>个专门实验室，今后将集成打造综合性、高水平的“社会心理科学与工程实验室”，还将建设一批社会实验基地，强化科学研究与人才培养的条件保障。心理学系师生一直并将继续积极参与社会服务和文化传承实践，在实践中锻炼自我，锻造学科。心理学系将继续强化学术平台建设，不断拓展学术联系，与学界同仁携手探索社会心理科学发展道路，建设面向人民的心理学，在服务人民和社会发展的过程中彰显学科价值。</w:t>
      </w:r>
    </w:p>
    <w:p>
      <w:pPr>
        <w:pStyle w:val="Style21"/>
        <w:spacing w:lineRule="exact" w:line="500" w:before="100" w:after="100"/>
        <w:contextualSpacing/>
        <w:rPr>
          <w:rFonts w:hint="eastAsia"/>
          <w:b/>
          <w:color w:val="C00000"/>
          <w:sz w:val="21"/>
          <w:szCs w:val="21"/>
        </w:rPr>
      </w:pPr>
      <w:r>
        <w:rPr>
          <w:rFonts w:hint="eastAsia"/>
          <w:b/>
          <w:bCs/>
          <w:color w:val="C00000"/>
          <w:sz w:val="21"/>
          <w:szCs w:val="21"/>
        </w:rPr>
      </w:r>
    </w:p>
    <w:p>
      <w:pPr>
        <w:pStyle w:val="Style21"/>
        <w:spacing w:lineRule="exact" w:line="500" w:before="100" w:after="100"/>
        <w:contextualSpacing/>
        <w:rPr>
          <w:b/>
          <w:color w:val="C00000"/>
          <w:sz w:val="21"/>
          <w:szCs w:val="21"/>
        </w:rPr>
      </w:pPr>
      <w:r>
        <w:rPr>
          <w:rFonts w:hint="eastAsia"/>
          <w:b/>
          <w:bCs/>
          <w:color w:val="FF0000"/>
          <w:sz w:val="21"/>
          <w:szCs w:val="21"/>
        </w:rPr>
        <w:t>二、</w:t>
      </w:r>
      <w:r>
        <w:rPr>
          <w:b/>
          <w:color w:val="C00000"/>
          <w:sz w:val="21"/>
          <w:szCs w:val="21"/>
        </w:rPr>
        <w:t>课程安排</w:t>
      </w:r>
    </w:p>
    <w:p>
      <w:pPr>
        <w:pStyle w:val="Style21"/>
        <w:spacing w:lineRule="exact" w:line="500" w:before="100" w:after="100"/>
        <w:contextualSpacing/>
        <w:rPr>
          <w:rFonts w:hint="eastAsia"/>
          <w:b/>
          <w:color w:val="C00000"/>
          <w:sz w:val="21"/>
          <w:szCs w:val="21"/>
        </w:rPr>
      </w:pPr>
      <w:r>
        <w:rPr>
          <w:rFonts w:hint="eastAsia"/>
          <w:b/>
          <w:color w:val="C00000"/>
          <w:sz w:val="21"/>
          <w:szCs w:val="21"/>
        </w:rPr>
      </w:r>
    </w:p>
    <w:tbl>
      <w:tblPr>
        <w:tblW w:w="8604" w:type="dxa"/>
        <w:jc w:val="start"/>
        <w:tblInd w:w="0" w:type="dxa"/>
        <w:tblLayout w:type="fixed"/>
        <w:tblCellMar>
          <w:top w:w="0" w:type="dxa"/>
          <w:start w:w="108" w:type="dxa"/>
          <w:bottom w:w="0" w:type="dxa"/>
          <w:end w:w="108" w:type="dxa"/>
        </w:tblCellMar>
      </w:tblPr>
      <w:tblGrid>
        <w:gridCol w:w="1978"/>
        <w:gridCol w:w="3626"/>
        <w:gridCol w:w="3000"/>
      </w:tblGrid>
      <w:tr>
        <w:trPr>
          <w:trHeight w:val="695" w:hRule="atLeast"/>
        </w:trPr>
        <w:tc>
          <w:tcPr>
            <w:tcW w:w="8604" w:type="dxa"/>
            <w:gridSpan w:val="3"/>
            <w:tcBorders>
              <w:top w:val="single" w:sz="4" w:space="0" w:color="000000"/>
              <w:start w:val="single" w:sz="4" w:space="0" w:color="000000"/>
              <w:bottom w:val="single" w:sz="4" w:space="0" w:color="000000"/>
              <w:end w:val="single" w:sz="4" w:space="0" w:color="000000"/>
            </w:tcBorders>
          </w:tcPr>
          <w:p>
            <w:pPr>
              <w:pStyle w:val="Heading6"/>
              <w:widowControl/>
              <w:tabs>
                <w:tab w:val="clear" w:pos="420"/>
                <w:tab w:val="left" w:pos="3366" w:leader="none"/>
              </w:tabs>
              <w:spacing w:before="225" w:after="75"/>
              <w:ind w:hanging="0" w:start="0"/>
              <w:rPr>
                <w:rFonts w:cs="微软雅黑"/>
                <w:b w:val="false"/>
                <w:color w:val="000000"/>
                <w:sz w:val="21"/>
                <w:szCs w:val="21"/>
                <w:lang w:bidi="ar"/>
              </w:rPr>
            </w:pPr>
            <w:r>
              <w:rPr>
                <w:rFonts w:cs="微软雅黑" w:hint="eastAsia"/>
                <w:b w:val="false"/>
                <w:color w:val="000000"/>
                <w:sz w:val="21"/>
                <w:szCs w:val="21"/>
                <w:lang w:bidi="ar"/>
              </w:rPr>
              <w:tab/>
            </w:r>
            <w:r>
              <w:rPr>
                <w:rFonts w:cs="微软雅黑" w:hint="eastAsia"/>
                <w:bCs/>
                <w:color w:val="000000"/>
                <w:sz w:val="21"/>
                <w:szCs w:val="21"/>
                <w:lang w:bidi="ar"/>
              </w:rPr>
              <w:t>应用心理学专业课程</w:t>
            </w:r>
          </w:p>
        </w:tc>
      </w:tr>
      <w:tr>
        <w:trPr>
          <w:trHeight w:val="580" w:hRule="atLeast"/>
        </w:trPr>
        <w:tc>
          <w:tcPr>
            <w:tcW w:w="1978"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Cs/>
                <w:color w:val="000000"/>
                <w:sz w:val="21"/>
                <w:szCs w:val="21"/>
                <w:lang w:bidi="ar"/>
              </w:rPr>
            </w:pPr>
            <w:r>
              <w:rPr>
                <w:rFonts w:cs="微软雅黑" w:hint="eastAsia"/>
                <w:bCs/>
                <w:color w:val="000000"/>
                <w:sz w:val="21"/>
                <w:szCs w:val="21"/>
                <w:lang w:bidi="ar"/>
              </w:rPr>
              <w:t>政治理论课</w:t>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宋体;SimSun"/>
                <w:b w:val="false"/>
                <w:sz w:val="21"/>
                <w:szCs w:val="21"/>
              </w:rPr>
            </w:pPr>
            <w:r>
              <w:rPr>
                <w:rFonts w:cs="宋体;SimSun"/>
                <w:b w:val="false"/>
                <w:sz w:val="21"/>
                <w:szCs w:val="21"/>
              </w:rPr>
              <w:t>新时代中国特色社会主义理论与实践</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sz w:val="21"/>
                <w:szCs w:val="21"/>
                <w:lang w:bidi="ar"/>
              </w:rPr>
            </w:pPr>
            <w:r>
              <w:rPr>
                <w:rFonts w:cs="微软雅黑"/>
                <w:b w:val="false"/>
                <w:sz w:val="21"/>
                <w:szCs w:val="21"/>
                <w:lang w:bidi="ar"/>
              </w:rPr>
              <w:t>自然辩证法概论</w:t>
            </w:r>
          </w:p>
        </w:tc>
      </w:tr>
      <w:tr>
        <w:trPr>
          <w:trHeight w:val="412" w:hRule="atLeast"/>
        </w:trPr>
        <w:tc>
          <w:tcPr>
            <w:tcW w:w="1978"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Cs/>
                <w:color w:val="000000"/>
                <w:sz w:val="21"/>
                <w:szCs w:val="21"/>
                <w:lang w:bidi="ar"/>
              </w:rPr>
            </w:pPr>
            <w:r>
              <w:rPr>
                <w:rFonts w:cs="微软雅黑" w:hint="eastAsia"/>
                <w:bCs/>
                <w:color w:val="000000"/>
                <w:sz w:val="21"/>
                <w:szCs w:val="21"/>
                <w:lang w:bidi="ar"/>
              </w:rPr>
              <w:t>学科基础课</w:t>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sz w:val="21"/>
                <w:szCs w:val="21"/>
                <w:lang w:bidi="ar"/>
              </w:rPr>
            </w:pPr>
            <w:r>
              <w:rPr>
                <w:rFonts w:cs="微软雅黑"/>
                <w:b w:val="false"/>
                <w:sz w:val="21"/>
                <w:szCs w:val="21"/>
                <w:lang w:bidi="ar"/>
              </w:rPr>
              <w:t>心理学理论流派</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sz w:val="21"/>
                <w:szCs w:val="21"/>
                <w:lang w:bidi="ar"/>
              </w:rPr>
            </w:pPr>
            <w:r>
              <w:rPr>
                <w:rFonts w:cs="微软雅黑"/>
                <w:b w:val="false"/>
                <w:sz w:val="21"/>
                <w:szCs w:val="21"/>
                <w:lang w:bidi="ar"/>
              </w:rPr>
              <w:t>心理学进展</w:t>
            </w:r>
          </w:p>
        </w:tc>
      </w:tr>
      <w:tr>
        <w:trPr>
          <w:trHeight w:val="637" w:hRule="atLeast"/>
        </w:trPr>
        <w:tc>
          <w:tcPr>
            <w:tcW w:w="1978" w:type="dxa"/>
            <w:vMerge w:val="restart"/>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Cs/>
                <w:color w:val="000000"/>
                <w:sz w:val="21"/>
                <w:szCs w:val="21"/>
                <w:lang w:bidi="ar"/>
              </w:rPr>
            </w:pPr>
            <w:r>
              <w:rPr>
                <w:rFonts w:cs="微软雅黑" w:hint="eastAsia"/>
                <w:bCs/>
                <w:color w:val="000000"/>
                <w:sz w:val="21"/>
                <w:szCs w:val="21"/>
                <w:lang w:bidi="ar"/>
              </w:rPr>
              <w:t>方法课</w:t>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sz w:val="21"/>
                <w:szCs w:val="21"/>
                <w:lang w:bidi="ar"/>
              </w:rPr>
            </w:pPr>
            <w:r>
              <w:rPr>
                <w:rFonts w:cs="微软雅黑"/>
                <w:b w:val="false"/>
                <w:sz w:val="21"/>
                <w:szCs w:val="21"/>
                <w:lang w:bidi="ar"/>
              </w:rPr>
              <w:t>高级心理统计与测量</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sz w:val="21"/>
                <w:szCs w:val="21"/>
                <w:lang w:bidi="ar"/>
              </w:rPr>
            </w:pPr>
            <w:r>
              <w:rPr>
                <w:rFonts w:cs="微软雅黑"/>
                <w:b w:val="false"/>
                <w:sz w:val="21"/>
                <w:szCs w:val="21"/>
                <w:lang w:bidi="ar"/>
              </w:rPr>
              <w:t>学术规范和论文写作</w:t>
            </w:r>
          </w:p>
        </w:tc>
      </w:tr>
      <w:tr>
        <w:trPr>
          <w:trHeight w:val="707"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hint="eastAsia"/>
                <w:bCs/>
                <w:color w:val="000000"/>
                <w:sz w:val="21"/>
                <w:szCs w:val="21"/>
                <w:lang w:bidi="ar"/>
              </w:rPr>
            </w:pPr>
            <w:r>
              <w:rPr>
                <w:rFonts w:cs="微软雅黑" w:hint="eastAsia"/>
                <w:b w:val="false"/>
                <w:bCs/>
                <w:color w:val="00000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sz w:val="21"/>
                <w:szCs w:val="21"/>
                <w:lang w:bidi="ar"/>
              </w:rPr>
            </w:pPr>
            <w:r>
              <w:rPr>
                <w:rFonts w:cs="微软雅黑"/>
                <w:b w:val="false"/>
                <w:sz w:val="21"/>
                <w:szCs w:val="21"/>
                <w:lang w:bidi="ar"/>
              </w:rPr>
              <w:t>高级心理统计和数据分析进阶</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sz w:val="21"/>
                <w:szCs w:val="21"/>
                <w:lang w:bidi="ar"/>
              </w:rPr>
            </w:pPr>
            <w:r>
              <w:rPr>
                <w:rFonts w:cs="微软雅黑"/>
                <w:b w:val="false"/>
                <w:sz w:val="21"/>
                <w:szCs w:val="21"/>
                <w:lang w:bidi="ar"/>
              </w:rPr>
              <w:t>心理学研究方法</w:t>
            </w:r>
          </w:p>
        </w:tc>
      </w:tr>
      <w:tr>
        <w:trPr>
          <w:trHeight w:val="592" w:hRule="atLeast"/>
        </w:trPr>
        <w:tc>
          <w:tcPr>
            <w:tcW w:w="1978" w:type="dxa"/>
            <w:vMerge w:val="restart"/>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Cs/>
                <w:color w:val="000000"/>
                <w:sz w:val="21"/>
                <w:szCs w:val="21"/>
                <w:lang w:bidi="ar"/>
              </w:rPr>
            </w:pPr>
            <w:r>
              <w:rPr>
                <w:rFonts w:cs="微软雅黑" w:hint="eastAsia"/>
                <w:bCs/>
                <w:color w:val="000000"/>
                <w:sz w:val="21"/>
                <w:szCs w:val="21"/>
                <w:lang w:bidi="ar"/>
              </w:rPr>
              <w:t>专业课</w:t>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sz w:val="21"/>
                <w:szCs w:val="21"/>
                <w:lang w:bidi="ar"/>
              </w:rPr>
            </w:pPr>
            <w:r>
              <w:rPr>
                <w:rFonts w:cs="微软雅黑"/>
                <w:b w:val="false"/>
                <w:sz w:val="21"/>
                <w:szCs w:val="21"/>
                <w:lang w:bidi="ar"/>
              </w:rPr>
              <w:t>心理辅导与咨询专题</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sz w:val="21"/>
                <w:szCs w:val="21"/>
                <w:lang w:bidi="ar"/>
              </w:rPr>
            </w:pPr>
            <w:r>
              <w:rPr>
                <w:rFonts w:cs="微软雅黑"/>
                <w:b w:val="false"/>
                <w:sz w:val="21"/>
                <w:szCs w:val="21"/>
                <w:lang w:bidi="ar"/>
              </w:rPr>
              <w:t>健康促进研究新进展</w:t>
            </w:r>
          </w:p>
        </w:tc>
      </w:tr>
      <w:tr>
        <w:trPr>
          <w:trHeight w:val="517"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hint="eastAsia"/>
                <w:bCs/>
                <w:color w:val="000000"/>
                <w:sz w:val="21"/>
                <w:szCs w:val="21"/>
                <w:lang w:bidi="ar"/>
              </w:rPr>
            </w:pPr>
            <w:r>
              <w:rPr>
                <w:rFonts w:cs="微软雅黑" w:hint="eastAsia"/>
                <w:b w:val="false"/>
                <w:bCs/>
                <w:color w:val="00000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sz w:val="21"/>
                <w:szCs w:val="21"/>
                <w:lang w:bidi="ar"/>
              </w:rPr>
            </w:pPr>
            <w:r>
              <w:rPr>
                <w:rFonts w:cs="微软雅黑"/>
                <w:b w:val="false"/>
                <w:sz w:val="21"/>
                <w:szCs w:val="21"/>
                <w:lang w:bidi="ar"/>
              </w:rPr>
              <w:t>心理学实验技术应用专题</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sz w:val="21"/>
                <w:szCs w:val="21"/>
                <w:lang w:bidi="ar"/>
              </w:rPr>
            </w:pPr>
            <w:r>
              <w:rPr>
                <w:rFonts w:cs="微软雅黑"/>
                <w:b w:val="false"/>
                <w:sz w:val="21"/>
                <w:szCs w:val="21"/>
                <w:lang w:bidi="ar"/>
              </w:rPr>
              <w:t>职业健康心理学新进展</w:t>
            </w:r>
          </w:p>
        </w:tc>
      </w:tr>
      <w:tr>
        <w:trPr>
          <w:trHeight w:val="532"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hint="eastAsia"/>
                <w:bCs/>
                <w:color w:val="000000"/>
                <w:sz w:val="21"/>
                <w:szCs w:val="21"/>
                <w:lang w:bidi="ar"/>
              </w:rPr>
            </w:pPr>
            <w:r>
              <w:rPr>
                <w:rFonts w:cs="微软雅黑" w:hint="eastAsia"/>
                <w:b w:val="false"/>
                <w:bCs/>
                <w:color w:val="00000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sz w:val="21"/>
                <w:szCs w:val="21"/>
                <w:lang w:bidi="ar"/>
              </w:rPr>
            </w:pPr>
            <w:r>
              <w:rPr>
                <w:rFonts w:cs="微软雅黑"/>
                <w:b w:val="false"/>
                <w:sz w:val="21"/>
                <w:szCs w:val="21"/>
                <w:lang w:bidi="ar"/>
              </w:rPr>
              <w:t>人力资源管理新进展</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sz w:val="21"/>
                <w:szCs w:val="21"/>
                <w:lang w:bidi="ar"/>
              </w:rPr>
            </w:pPr>
            <w:r>
              <w:rPr>
                <w:rFonts w:cs="微软雅黑"/>
                <w:b w:val="false"/>
                <w:sz w:val="21"/>
                <w:szCs w:val="21"/>
                <w:lang w:bidi="ar"/>
              </w:rPr>
              <w:t>人机交互</w:t>
            </w:r>
          </w:p>
        </w:tc>
      </w:tr>
      <w:tr>
        <w:trPr>
          <w:trHeight w:val="442"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hint="eastAsia"/>
                <w:bCs/>
                <w:color w:val="000000"/>
                <w:sz w:val="21"/>
                <w:szCs w:val="21"/>
                <w:lang w:bidi="ar"/>
              </w:rPr>
            </w:pPr>
            <w:r>
              <w:rPr>
                <w:rFonts w:cs="微软雅黑" w:hint="eastAsia"/>
                <w:b w:val="false"/>
                <w:bCs/>
                <w:color w:val="00000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sz w:val="21"/>
                <w:szCs w:val="21"/>
                <w:lang w:bidi="ar"/>
              </w:rPr>
            </w:pPr>
            <w:r>
              <w:rPr>
                <w:rFonts w:cs="微软雅黑"/>
                <w:b w:val="false"/>
                <w:sz w:val="21"/>
                <w:szCs w:val="21"/>
                <w:lang w:bidi="ar"/>
              </w:rPr>
              <w:t>工业与组织心理学新进展</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napToGrid w:val="false"/>
              <w:spacing w:before="225" w:after="75"/>
              <w:ind w:hanging="0" w:start="0"/>
              <w:rPr>
                <w:rFonts w:cs="微软雅黑"/>
                <w:b w:val="false"/>
                <w:sz w:val="21"/>
                <w:szCs w:val="21"/>
                <w:lang w:bidi="ar"/>
              </w:rPr>
            </w:pPr>
            <w:r>
              <w:rPr>
                <w:rFonts w:cs="微软雅黑"/>
                <w:b w:val="false"/>
                <w:sz w:val="21"/>
                <w:szCs w:val="21"/>
                <w:lang w:bidi="ar"/>
              </w:rPr>
            </w:r>
          </w:p>
        </w:tc>
      </w:tr>
      <w:tr>
        <w:trPr>
          <w:trHeight w:val="617" w:hRule="atLeast"/>
        </w:trPr>
        <w:tc>
          <w:tcPr>
            <w:tcW w:w="1978" w:type="dxa"/>
            <w:vMerge w:val="restart"/>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Cs/>
                <w:color w:val="000000"/>
                <w:sz w:val="21"/>
                <w:szCs w:val="21"/>
                <w:lang w:bidi="ar"/>
              </w:rPr>
            </w:pPr>
            <w:r>
              <w:rPr>
                <w:rFonts w:cs="微软雅黑" w:hint="eastAsia"/>
                <w:bCs/>
                <w:color w:val="000000"/>
                <w:sz w:val="21"/>
                <w:szCs w:val="21"/>
                <w:lang w:bidi="ar"/>
              </w:rPr>
              <w:t>选修课</w:t>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b w:val="false"/>
                <w:color w:val="000000"/>
                <w:sz w:val="21"/>
                <w:szCs w:val="21"/>
                <w:lang w:bidi="ar"/>
              </w:rPr>
              <w:t>经济心理学专题</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b w:val="false"/>
                <w:color w:val="000000"/>
                <w:sz w:val="21"/>
                <w:szCs w:val="21"/>
                <w:lang w:bidi="ar"/>
              </w:rPr>
              <w:t>进化心理学</w:t>
            </w:r>
          </w:p>
        </w:tc>
      </w:tr>
      <w:tr>
        <w:trPr>
          <w:trHeight w:val="617"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hint="eastAsia"/>
                <w:bCs/>
                <w:color w:val="000000"/>
                <w:sz w:val="21"/>
                <w:szCs w:val="21"/>
                <w:lang w:bidi="ar"/>
              </w:rPr>
            </w:pPr>
            <w:r>
              <w:rPr>
                <w:rFonts w:cs="微软雅黑" w:hint="eastAsia"/>
                <w:b w:val="false"/>
                <w:bCs/>
                <w:color w:val="00000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b w:val="false"/>
                <w:color w:val="000000"/>
                <w:sz w:val="21"/>
                <w:szCs w:val="21"/>
                <w:lang w:bidi="ar"/>
              </w:rPr>
              <w:t>教育心理学新进展</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napToGrid w:val="false"/>
              <w:spacing w:before="225" w:after="75"/>
              <w:ind w:hanging="0" w:start="0"/>
              <w:rPr>
                <w:rFonts w:cs="微软雅黑"/>
                <w:b w:val="false"/>
                <w:color w:val="000000"/>
                <w:sz w:val="21"/>
                <w:szCs w:val="21"/>
                <w:lang w:bidi="ar"/>
              </w:rPr>
            </w:pPr>
            <w:r>
              <w:rPr>
                <w:rFonts w:cs="微软雅黑"/>
                <w:b w:val="false"/>
                <w:color w:val="000000"/>
                <w:sz w:val="21"/>
                <w:szCs w:val="21"/>
                <w:lang w:bidi="ar"/>
              </w:rPr>
            </w:r>
          </w:p>
        </w:tc>
      </w:tr>
      <w:tr>
        <w:trPr>
          <w:trHeight w:val="617" w:hRule="atLeast"/>
        </w:trPr>
        <w:tc>
          <w:tcPr>
            <w:tcW w:w="1978"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Cs/>
                <w:color w:val="000000"/>
                <w:sz w:val="21"/>
                <w:szCs w:val="21"/>
                <w:lang w:bidi="ar"/>
              </w:rPr>
            </w:pPr>
            <w:r>
              <w:rPr>
                <w:rFonts w:cs="微软雅黑" w:hint="eastAsia"/>
                <w:bCs/>
                <w:color w:val="000000"/>
                <w:sz w:val="21"/>
                <w:szCs w:val="21"/>
                <w:lang w:bidi="ar"/>
              </w:rPr>
              <w:t>第一外语课</w:t>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hint="eastAsia"/>
                <w:b w:val="false"/>
                <w:sz w:val="21"/>
                <w:szCs w:val="21"/>
                <w:lang w:bidi="ar"/>
              </w:rPr>
              <w:t>语言基础</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napToGrid w:val="false"/>
              <w:spacing w:before="225" w:after="75"/>
              <w:ind w:hanging="0" w:start="0"/>
              <w:rPr>
                <w:rFonts w:cs="微软雅黑"/>
                <w:b w:val="false"/>
                <w:color w:val="000000"/>
                <w:sz w:val="21"/>
                <w:szCs w:val="21"/>
                <w:lang w:bidi="ar"/>
              </w:rPr>
            </w:pPr>
            <w:r>
              <w:rPr>
                <w:rFonts w:cs="微软雅黑"/>
                <w:b w:val="false"/>
                <w:color w:val="000000"/>
                <w:sz w:val="21"/>
                <w:szCs w:val="21"/>
                <w:lang w:bidi="ar"/>
              </w:rPr>
            </w:r>
          </w:p>
        </w:tc>
      </w:tr>
    </w:tbl>
    <w:p>
      <w:pPr>
        <w:pStyle w:val="Style21"/>
        <w:spacing w:lineRule="exact" w:line="500" w:before="100" w:after="100"/>
        <w:contextualSpacing/>
        <w:rPr>
          <w:rFonts w:hint="eastAsia"/>
          <w:b/>
          <w:color w:val="C00000"/>
          <w:sz w:val="21"/>
          <w:szCs w:val="21"/>
        </w:rPr>
      </w:pPr>
      <w:r>
        <w:rPr>
          <w:rFonts w:hint="eastAsia"/>
          <w:b/>
          <w:color w:val="C00000"/>
          <w:sz w:val="21"/>
          <w:szCs w:val="21"/>
        </w:rPr>
      </w:r>
    </w:p>
    <w:p>
      <w:pPr>
        <w:pStyle w:val="Style21"/>
        <w:spacing w:lineRule="exact" w:line="500" w:before="100" w:after="100"/>
        <w:ind w:firstLineChars="1600" w:startChars="0" w:start="0" w:endChars="0" w:end="0"/>
        <w:contextualSpacing/>
        <w:jc w:val="both"/>
        <w:rPr>
          <w:rFonts w:hint="eastAsia"/>
          <w:sz w:val="21"/>
          <w:szCs w:val="21"/>
        </w:rPr>
      </w:pPr>
      <w:r>
        <w:rPr>
          <w:rFonts w:hint="eastAsia"/>
          <w:sz w:val="21"/>
          <w:szCs w:val="21"/>
        </w:rPr>
        <w:t>注：具体请参照实际教学</w:t>
      </w:r>
    </w:p>
    <w:p>
      <w:pPr>
        <w:pStyle w:val="Style21"/>
        <w:spacing w:lineRule="exact" w:line="500" w:before="100" w:after="100"/>
        <w:contextualSpacing/>
        <w:rPr>
          <w:rFonts w:hint="eastAsia"/>
          <w:b/>
          <w:color w:val="C00000"/>
          <w:sz w:val="21"/>
          <w:szCs w:val="21"/>
        </w:rPr>
      </w:pPr>
      <w:r>
        <w:rPr>
          <w:rFonts w:hint="eastAsia"/>
          <w:b/>
          <w:color w:val="C00000"/>
          <w:sz w:val="21"/>
          <w:szCs w:val="21"/>
        </w:rPr>
      </w:r>
    </w:p>
    <w:p>
      <w:pPr>
        <w:pStyle w:val="Style21"/>
        <w:spacing w:lineRule="exact" w:line="500" w:before="100" w:after="100"/>
        <w:contextualSpacing/>
        <w:rPr>
          <w:b/>
          <w:color w:val="C00000"/>
          <w:sz w:val="21"/>
          <w:szCs w:val="21"/>
        </w:rPr>
      </w:pPr>
      <w:r>
        <w:rPr>
          <w:rFonts w:hint="eastAsia"/>
          <w:b/>
          <w:color w:val="C00000"/>
          <w:sz w:val="21"/>
          <w:szCs w:val="21"/>
        </w:rPr>
        <w:t>三</w:t>
      </w:r>
      <w:r>
        <w:rPr>
          <w:b/>
          <w:color w:val="C00000"/>
          <w:sz w:val="21"/>
          <w:szCs w:val="21"/>
        </w:rPr>
        <w:t>、教学办法</w:t>
      </w:r>
    </w:p>
    <w:p>
      <w:pPr>
        <w:pStyle w:val="Style21"/>
        <w:spacing w:lineRule="exact" w:line="500" w:before="100" w:after="100"/>
        <w:ind w:firstLineChars="200" w:startChars="0" w:start="0" w:endChars="0" w:end="0"/>
        <w:contextualSpacing/>
        <w:rPr>
          <w:sz w:val="21"/>
          <w:szCs w:val="21"/>
        </w:rPr>
      </w:pPr>
      <w:r>
        <w:rPr>
          <w:sz w:val="21"/>
          <w:szCs w:val="21"/>
        </w:rPr>
        <w:t>采取面授与线上相结合方式，依据教学课程大纲开展教学，其余时间在职自学、完成作业。</w:t>
      </w:r>
    </w:p>
    <w:p>
      <w:pPr>
        <w:pStyle w:val="Style21"/>
        <w:spacing w:lineRule="exact" w:line="500" w:before="100" w:after="100"/>
        <w:ind w:firstLineChars="200" w:startChars="0" w:start="0" w:endChars="0" w:end="0"/>
        <w:contextualSpacing/>
        <w:rPr>
          <w:rFonts w:hint="eastAsia"/>
          <w:sz w:val="21"/>
          <w:szCs w:val="21"/>
        </w:rPr>
      </w:pPr>
      <w:r>
        <w:rPr>
          <w:rFonts w:hint="eastAsia"/>
          <w:sz w:val="21"/>
          <w:szCs w:val="21"/>
        </w:rPr>
      </w:r>
    </w:p>
    <w:p>
      <w:pPr>
        <w:pStyle w:val="Style21"/>
        <w:spacing w:lineRule="exact" w:line="500" w:before="100" w:after="100"/>
        <w:contextualSpacing/>
        <w:rPr>
          <w:b/>
          <w:color w:val="C00000"/>
          <w:sz w:val="21"/>
          <w:szCs w:val="21"/>
        </w:rPr>
      </w:pPr>
      <w:r>
        <w:rPr>
          <w:rFonts w:hint="eastAsia"/>
          <w:b/>
          <w:color w:val="C00000"/>
          <w:sz w:val="21"/>
          <w:szCs w:val="21"/>
        </w:rPr>
        <w:t>四</w:t>
      </w:r>
      <w:r>
        <w:rPr>
          <w:b/>
          <w:color w:val="C00000"/>
          <w:sz w:val="21"/>
          <w:szCs w:val="21"/>
        </w:rPr>
        <w:t>、学习期限</w:t>
      </w:r>
    </w:p>
    <w:p>
      <w:pPr>
        <w:pStyle w:val="Style21"/>
        <w:spacing w:lineRule="exact" w:line="500" w:before="100" w:after="100"/>
        <w:contextualSpacing/>
        <w:rPr>
          <w:sz w:val="21"/>
          <w:szCs w:val="21"/>
        </w:rPr>
      </w:pPr>
      <w:r>
        <w:rPr>
          <w:sz w:val="21"/>
          <w:szCs w:val="21"/>
        </w:rPr>
        <w:t>　　学习时间：</w:t>
      </w:r>
      <w:r>
        <w:rPr>
          <w:rFonts w:hint="eastAsia"/>
          <w:sz w:val="21"/>
          <w:szCs w:val="21"/>
        </w:rPr>
        <w:t>1.5</w:t>
      </w:r>
      <w:r>
        <w:rPr>
          <w:rFonts w:hint="eastAsia"/>
          <w:sz w:val="21"/>
          <w:szCs w:val="21"/>
        </w:rPr>
        <w:t>年</w:t>
      </w:r>
      <w:r>
        <w:rPr>
          <w:sz w:val="21"/>
          <w:szCs w:val="21"/>
        </w:rPr>
        <w:t>。每月</w:t>
      </w:r>
      <w:r>
        <w:rPr>
          <w:sz w:val="21"/>
          <w:szCs w:val="21"/>
        </w:rPr>
        <w:t>2—3</w:t>
      </w:r>
      <w:r>
        <w:rPr>
          <w:sz w:val="21"/>
          <w:szCs w:val="21"/>
        </w:rPr>
        <w:t>个周末上课（周六日两天）。</w:t>
      </w:r>
    </w:p>
    <w:p>
      <w:pPr>
        <w:pStyle w:val="Style21"/>
        <w:spacing w:lineRule="exact" w:line="500" w:before="100" w:after="100"/>
        <w:ind w:firstLine="420" w:end="0"/>
        <w:contextualSpacing/>
        <w:rPr>
          <w:sz w:val="21"/>
          <w:szCs w:val="21"/>
        </w:rPr>
      </w:pPr>
      <w:r>
        <w:rPr>
          <w:sz w:val="21"/>
          <w:szCs w:val="21"/>
        </w:rPr>
        <w:t>如遇校内统一考试、寒暑假或节假日顺延。</w:t>
      </w:r>
    </w:p>
    <w:p>
      <w:pPr>
        <w:pStyle w:val="Style21"/>
        <w:spacing w:lineRule="exact" w:line="500" w:before="100" w:after="100"/>
        <w:ind w:firstLine="420" w:end="0"/>
        <w:contextualSpacing/>
        <w:rPr>
          <w:rFonts w:hint="eastAsia"/>
          <w:sz w:val="21"/>
          <w:szCs w:val="21"/>
        </w:rPr>
      </w:pPr>
      <w:r>
        <w:rPr>
          <w:rFonts w:hint="eastAsia"/>
          <w:sz w:val="21"/>
          <w:szCs w:val="21"/>
        </w:rPr>
      </w:r>
    </w:p>
    <w:p>
      <w:pPr>
        <w:pStyle w:val="Style21"/>
        <w:spacing w:lineRule="exact" w:line="500" w:before="100" w:after="100"/>
        <w:contextualSpacing/>
        <w:rPr>
          <w:b/>
          <w:color w:val="C00000"/>
          <w:sz w:val="21"/>
          <w:szCs w:val="21"/>
        </w:rPr>
      </w:pPr>
      <w:r>
        <w:rPr>
          <w:rFonts w:hint="eastAsia"/>
          <w:b/>
          <w:color w:val="C00000"/>
          <w:sz w:val="21"/>
          <w:szCs w:val="21"/>
        </w:rPr>
        <w:t>五</w:t>
      </w:r>
      <w:r>
        <w:rPr>
          <w:b/>
          <w:color w:val="C00000"/>
          <w:sz w:val="21"/>
          <w:szCs w:val="21"/>
        </w:rPr>
        <w:t>、报名条件及报名手续</w:t>
      </w:r>
    </w:p>
    <w:p>
      <w:pPr>
        <w:pStyle w:val="Style21"/>
        <w:spacing w:lineRule="exact" w:line="500" w:before="100" w:after="100"/>
        <w:contextualSpacing/>
        <w:rPr>
          <w:rFonts w:hint="eastAsia"/>
          <w:sz w:val="21"/>
          <w:szCs w:val="21"/>
        </w:rPr>
      </w:pPr>
      <w:r>
        <w:rPr>
          <w:sz w:val="21"/>
          <w:szCs w:val="21"/>
        </w:rPr>
        <w:t>　</w:t>
      </w:r>
      <w:r>
        <w:rPr>
          <w:rFonts w:hint="eastAsia"/>
          <w:sz w:val="21"/>
          <w:szCs w:val="21"/>
        </w:rPr>
        <w:t>报名条件：</w:t>
      </w:r>
    </w:p>
    <w:p>
      <w:pPr>
        <w:pStyle w:val="Style21"/>
        <w:spacing w:lineRule="exact" w:line="500" w:before="100" w:after="100"/>
        <w:ind w:firstLineChars="200" w:startChars="200" w:endChars="0" w:end="0"/>
        <w:contextualSpacing/>
        <w:rPr>
          <w:sz w:val="21"/>
          <w:szCs w:val="21"/>
        </w:rPr>
      </w:pPr>
      <w:r>
        <w:rPr>
          <w:sz w:val="21"/>
          <w:szCs w:val="21"/>
        </w:rPr>
        <w:t xml:space="preserve">1. </w:t>
      </w:r>
      <w:r>
        <w:rPr>
          <w:sz w:val="21"/>
          <w:szCs w:val="21"/>
        </w:rPr>
        <w:t>拥护《中华人民共和国宪法》，遵守法律、法规，品行端正，身体健康，并能坚持在职学习者；</w:t>
      </w:r>
    </w:p>
    <w:p>
      <w:pPr>
        <w:pStyle w:val="Style21"/>
        <w:spacing w:lineRule="exact" w:line="500" w:before="100" w:after="100"/>
        <w:ind w:firstLineChars="200" w:startChars="200" w:endChars="0" w:end="0"/>
        <w:contextualSpacing/>
        <w:rPr>
          <w:sz w:val="21"/>
          <w:szCs w:val="21"/>
        </w:rPr>
      </w:pPr>
      <w:r>
        <w:rPr>
          <w:sz w:val="21"/>
          <w:szCs w:val="21"/>
        </w:rPr>
        <w:t xml:space="preserve">2. </w:t>
      </w:r>
      <w:r>
        <w:rPr>
          <w:sz w:val="21"/>
          <w:szCs w:val="21"/>
        </w:rPr>
        <w:t>国民教育序列大学本科毕业并获得学士学位满三年，已获得硕士及以上学位无年限要求（学位需在学信网上可查询，所学专业不限）</w:t>
      </w:r>
    </w:p>
    <w:p>
      <w:pPr>
        <w:pStyle w:val="Style21"/>
        <w:spacing w:lineRule="exact" w:line="500" w:before="100" w:after="100"/>
        <w:ind w:firstLineChars="200" w:startChars="200" w:endChars="0" w:end="0"/>
        <w:contextualSpacing/>
        <w:rPr>
          <w:rFonts w:hint="eastAsia"/>
          <w:sz w:val="21"/>
          <w:szCs w:val="21"/>
        </w:rPr>
      </w:pPr>
      <w:r>
        <w:rPr>
          <w:sz w:val="21"/>
          <w:szCs w:val="21"/>
        </w:rPr>
        <w:t>3.</w:t>
      </w:r>
      <w:r>
        <w:rPr>
          <w:sz w:val="21"/>
          <w:szCs w:val="21"/>
        </w:rPr>
        <w:t>大专学历者，参加课程班课程的学习，可获得结业证书。</w:t>
      </w:r>
      <w:r>
        <w:rPr>
          <w:rFonts w:hint="eastAsia"/>
          <w:sz w:val="21"/>
          <w:szCs w:val="21"/>
        </w:rPr>
        <w:t>　</w:t>
      </w:r>
    </w:p>
    <w:p>
      <w:pPr>
        <w:pStyle w:val="Style21"/>
        <w:spacing w:lineRule="exact" w:line="500" w:before="100" w:after="100"/>
        <w:contextualSpacing/>
        <w:rPr>
          <w:sz w:val="21"/>
          <w:szCs w:val="21"/>
        </w:rPr>
      </w:pPr>
      <w:r>
        <w:rPr>
          <w:sz w:val="21"/>
          <w:szCs w:val="21"/>
        </w:rPr>
        <w:t>　报名手续：</w:t>
      </w:r>
    </w:p>
    <w:p>
      <w:pPr>
        <w:pStyle w:val="Style21"/>
        <w:spacing w:lineRule="exact" w:line="500" w:before="100" w:after="100"/>
        <w:ind w:firstLineChars="0" w:firstLine="0" w:startChars="200" w:endChars="0" w:end="0"/>
        <w:contextualSpacing/>
        <w:rPr>
          <w:rFonts w:hint="eastAsia"/>
          <w:sz w:val="21"/>
          <w:szCs w:val="21"/>
        </w:rPr>
      </w:pPr>
      <w:r>
        <w:rPr>
          <w:rFonts w:hint="eastAsia"/>
          <w:sz w:val="21"/>
          <w:szCs w:val="21"/>
        </w:rPr>
        <w:t>1</w:t>
      </w:r>
      <w:r>
        <w:rPr>
          <w:rFonts w:hint="eastAsia"/>
          <w:sz w:val="21"/>
          <w:szCs w:val="21"/>
        </w:rPr>
        <w:t>、在职课程培训班报名登记表；</w:t>
      </w:r>
    </w:p>
    <w:p>
      <w:pPr>
        <w:pStyle w:val="Style21"/>
        <w:spacing w:lineRule="exact" w:line="500" w:before="100" w:after="100"/>
        <w:ind w:firstLineChars="0" w:firstLine="0" w:startChars="200" w:endChars="0" w:end="0"/>
        <w:contextualSpacing/>
        <w:rPr>
          <w:rFonts w:hint="eastAsia"/>
          <w:sz w:val="21"/>
          <w:szCs w:val="21"/>
        </w:rPr>
      </w:pPr>
      <w:r>
        <w:rPr>
          <w:rFonts w:hint="eastAsia"/>
          <w:sz w:val="21"/>
          <w:szCs w:val="21"/>
        </w:rPr>
        <w:t>2</w:t>
      </w:r>
      <w:r>
        <w:rPr>
          <w:rFonts w:hint="eastAsia"/>
          <w:sz w:val="21"/>
          <w:szCs w:val="21"/>
        </w:rPr>
        <w:t>、本人身份证复印件、最高学历证书和学位证书复印件；</w:t>
      </w:r>
    </w:p>
    <w:p>
      <w:pPr>
        <w:pStyle w:val="Style21"/>
        <w:spacing w:lineRule="exact" w:line="500" w:before="100" w:after="100"/>
        <w:ind w:firstLineChars="0" w:firstLine="0" w:startChars="200" w:endChars="0" w:end="0"/>
        <w:contextualSpacing/>
        <w:rPr>
          <w:rFonts w:hint="eastAsia"/>
          <w:sz w:val="21"/>
          <w:szCs w:val="21"/>
        </w:rPr>
      </w:pPr>
      <w:r>
        <w:rPr>
          <w:rFonts w:hint="eastAsia"/>
          <w:sz w:val="21"/>
          <w:szCs w:val="21"/>
        </w:rPr>
        <w:t>3</w:t>
      </w:r>
      <w:r>
        <w:rPr>
          <w:rFonts w:hint="eastAsia"/>
          <w:sz w:val="21"/>
          <w:szCs w:val="21"/>
        </w:rPr>
        <w:t>、蓝底免冠电子照片。</w:t>
      </w:r>
    </w:p>
    <w:p>
      <w:pPr>
        <w:pStyle w:val="Style21"/>
        <w:spacing w:lineRule="exact" w:line="500" w:before="100" w:after="100"/>
        <w:contextualSpacing/>
        <w:rPr>
          <w:sz w:val="21"/>
          <w:szCs w:val="21"/>
        </w:rPr>
      </w:pPr>
      <w:r>
        <w:rPr>
          <w:rFonts w:hint="eastAsia"/>
          <w:sz w:val="21"/>
          <w:szCs w:val="21"/>
        </w:rPr>
      </w:r>
    </w:p>
    <w:p>
      <w:pPr>
        <w:pStyle w:val="Style21"/>
        <w:spacing w:lineRule="exact" w:line="500" w:before="100" w:after="100"/>
        <w:contextualSpacing/>
        <w:rPr>
          <w:sz w:val="21"/>
          <w:szCs w:val="21"/>
        </w:rPr>
      </w:pPr>
      <w:r>
        <w:rPr>
          <w:rFonts w:hint="eastAsia"/>
          <w:b/>
          <w:color w:val="C00000"/>
          <w:sz w:val="21"/>
          <w:szCs w:val="21"/>
        </w:rPr>
        <w:t>六</w:t>
      </w:r>
      <w:r>
        <w:rPr>
          <w:b/>
          <w:color w:val="C00000"/>
          <w:sz w:val="21"/>
          <w:szCs w:val="21"/>
        </w:rPr>
        <w:t>、收费标准</w:t>
      </w:r>
    </w:p>
    <w:p>
      <w:pPr>
        <w:pStyle w:val="Style21"/>
        <w:spacing w:lineRule="exact" w:line="500" w:before="100" w:after="100"/>
        <w:contextualSpacing/>
        <w:rPr>
          <w:sz w:val="21"/>
          <w:szCs w:val="21"/>
        </w:rPr>
      </w:pPr>
      <w:r>
        <w:rPr>
          <w:sz w:val="21"/>
          <w:szCs w:val="21"/>
        </w:rPr>
        <w:t>　　在职课程培训班费用</w:t>
      </w:r>
      <w:r>
        <w:rPr>
          <w:rFonts w:hint="eastAsia"/>
          <w:sz w:val="21"/>
          <w:szCs w:val="21"/>
        </w:rPr>
        <w:t>460</w:t>
      </w:r>
      <w:r>
        <w:rPr>
          <w:sz w:val="21"/>
          <w:szCs w:val="21"/>
        </w:rPr>
        <w:t>00</w:t>
      </w:r>
      <w:r>
        <w:rPr>
          <w:sz w:val="21"/>
          <w:szCs w:val="21"/>
        </w:rPr>
        <w:t>元。</w:t>
      </w:r>
      <w:r>
        <w:rPr>
          <w:sz w:val="21"/>
          <w:szCs w:val="21"/>
        </w:rPr>
        <w:t>(</w:t>
      </w:r>
      <w:r>
        <w:rPr>
          <w:sz w:val="21"/>
          <w:szCs w:val="21"/>
        </w:rPr>
        <w:t>不含教材费费用一次性交清</w:t>
      </w:r>
      <w:r>
        <w:rPr>
          <w:rFonts w:hint="eastAsia"/>
          <w:sz w:val="21"/>
          <w:szCs w:val="21"/>
        </w:rPr>
        <w:t>，</w:t>
      </w:r>
      <w:r>
        <w:rPr>
          <w:sz w:val="21"/>
          <w:szCs w:val="21"/>
        </w:rPr>
        <w:t>由学校财务处统一开具培训类票据</w:t>
      </w:r>
      <w:r>
        <w:rPr>
          <w:sz w:val="21"/>
          <w:szCs w:val="21"/>
        </w:rPr>
        <w:t>)</w:t>
      </w:r>
    </w:p>
    <w:p>
      <w:pPr>
        <w:pStyle w:val="Style21"/>
        <w:spacing w:lineRule="exact" w:line="500" w:before="100" w:after="100"/>
        <w:contextualSpacing/>
        <w:rPr>
          <w:sz w:val="21"/>
          <w:szCs w:val="21"/>
        </w:rPr>
      </w:pPr>
      <w:r>
        <w:rPr>
          <w:sz w:val="21"/>
          <w:szCs w:val="21"/>
        </w:rPr>
      </w:r>
    </w:p>
    <w:p>
      <w:pPr>
        <w:pStyle w:val="Style21"/>
        <w:spacing w:lineRule="exact" w:line="500" w:before="100" w:after="100"/>
        <w:contextualSpacing/>
        <w:rPr>
          <w:b/>
          <w:color w:val="C00000"/>
          <w:sz w:val="21"/>
          <w:szCs w:val="21"/>
        </w:rPr>
      </w:pPr>
      <w:r>
        <w:rPr>
          <w:rFonts w:hint="eastAsia"/>
          <w:b/>
          <w:color w:val="C00000"/>
          <w:sz w:val="21"/>
          <w:szCs w:val="21"/>
        </w:rPr>
        <w:t>七</w:t>
      </w:r>
      <w:r>
        <w:rPr>
          <w:b/>
          <w:color w:val="C00000"/>
          <w:sz w:val="21"/>
          <w:szCs w:val="21"/>
        </w:rPr>
        <w:t>、缴费方式</w:t>
      </w:r>
    </w:p>
    <w:p>
      <w:pPr>
        <w:pStyle w:val="Style21"/>
        <w:spacing w:lineRule="exact" w:line="500" w:before="100" w:after="100"/>
        <w:contextualSpacing/>
        <w:rPr>
          <w:sz w:val="21"/>
          <w:szCs w:val="21"/>
        </w:rPr>
      </w:pPr>
      <w:r>
        <w:rPr>
          <w:sz w:val="21"/>
          <w:szCs w:val="21"/>
        </w:rPr>
        <w:t>　　个人账户缴费：点击“人大培训网”发布简章的缴费链接，通过学校电子收费系统缴费。</w:t>
      </w:r>
    </w:p>
    <w:p>
      <w:pPr>
        <w:pStyle w:val="Style21"/>
        <w:spacing w:lineRule="exact" w:line="500" w:before="100" w:after="100"/>
        <w:contextualSpacing/>
        <w:rPr>
          <w:sz w:val="21"/>
          <w:szCs w:val="21"/>
        </w:rPr>
      </w:pPr>
      <w:r>
        <w:rPr>
          <w:sz w:val="21"/>
          <w:szCs w:val="21"/>
        </w:rPr>
        <w:t>　</w:t>
      </w:r>
    </w:p>
    <w:p>
      <w:pPr>
        <w:pStyle w:val="Style21"/>
        <w:spacing w:lineRule="exact" w:line="500" w:before="100" w:after="100"/>
        <w:contextualSpacing/>
        <w:rPr>
          <w:b/>
          <w:color w:val="C00000"/>
          <w:sz w:val="21"/>
          <w:szCs w:val="21"/>
        </w:rPr>
      </w:pPr>
      <w:r>
        <w:rPr>
          <w:rFonts w:hint="eastAsia"/>
          <w:b/>
          <w:color w:val="C00000"/>
          <w:sz w:val="21"/>
          <w:szCs w:val="21"/>
        </w:rPr>
        <w:t>八</w:t>
      </w:r>
      <w:r>
        <w:rPr>
          <w:b/>
          <w:color w:val="C00000"/>
          <w:sz w:val="21"/>
          <w:szCs w:val="21"/>
        </w:rPr>
        <w:t>、获取证书</w:t>
      </w:r>
    </w:p>
    <w:p>
      <w:pPr>
        <w:pStyle w:val="Style21"/>
        <w:spacing w:lineRule="exact" w:line="500" w:before="100" w:after="100"/>
        <w:ind w:firstLineChars="200" w:startChars="0" w:start="0" w:endChars="0" w:end="0"/>
        <w:contextualSpacing/>
        <w:rPr>
          <w:sz w:val="21"/>
          <w:szCs w:val="21"/>
        </w:rPr>
      </w:pPr>
      <w:r>
        <w:rPr>
          <w:sz w:val="21"/>
          <w:szCs w:val="21"/>
        </w:rPr>
        <w:t>通过考试考核后，由我校继续教育处统一颁发《中国人民大学教育培训结业证书》。</w:t>
      </w:r>
    </w:p>
    <w:p>
      <w:pPr>
        <w:pStyle w:val="Style21"/>
        <w:spacing w:lineRule="exact" w:line="500" w:before="100" w:after="100"/>
        <w:contextualSpacing/>
        <w:rPr>
          <w:rFonts w:hint="eastAsia"/>
          <w:sz w:val="21"/>
          <w:szCs w:val="21"/>
        </w:rPr>
      </w:pPr>
      <w:r>
        <w:rPr>
          <w:rFonts w:hint="eastAsia"/>
          <w:sz w:val="21"/>
          <w:szCs w:val="21"/>
        </w:rPr>
      </w:r>
    </w:p>
    <w:sectPr>
      <w:headerReference w:type="default" r:id="rId3"/>
      <w:type w:val="nextPage"/>
      <w:pgSz w:w="11906" w:h="16838"/>
      <w:pgMar w:left="1800" w:right="1800" w:gutter="0" w:header="851" w:top="1440" w:footer="0" w:bottom="144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86"/>
    <w:family w:val="roman"/>
    <w:pitch w:val="variable"/>
  </w:font>
  <w:font w:name="宋体">
    <w:altName w:val="SimSun"/>
    <w:charset w:val="86"/>
    <w:family w:val="auto"/>
    <w:pitch w:val="variable"/>
  </w:font>
  <w:font w:name="Liberation Sans">
    <w:altName w:val="Arial"/>
    <w:charset w:val="86"/>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lang w:val="zh-CN" w:eastAsia="zh-CN"/>
      </w:rPr>
      <w:drawing>
        <wp:anchor distT="0" distB="0" distL="114935" distR="114935" simplePos="0" relativeHeight="5" behindDoc="1" locked="0" layoutInCell="0" allowOverlap="1">
          <wp:simplePos x="0" y="0"/>
          <wp:positionH relativeFrom="margin">
            <wp:align>center</wp:align>
          </wp:positionH>
          <wp:positionV relativeFrom="margin">
            <wp:align>center</wp:align>
          </wp:positionV>
          <wp:extent cx="4472305" cy="4507865"/>
          <wp:effectExtent l="0" t="0" r="0" b="0"/>
          <wp:wrapNone/>
          <wp:docPr id="3" name="WordPictureWatermark1058209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58209720"/>
                  <pic:cNvPicPr>
                    <a:picLocks noChangeAspect="1" noChangeArrowheads="1"/>
                  </pic:cNvPicPr>
                </pic:nvPicPr>
                <pic:blipFill>
                  <a:blip r:embed="rId1">
                    <a:lum bright="70000" contrast="-70000"/>
                  </a:blip>
                  <a:srcRect l="-6" t="-6" r="-6" b="-6"/>
                  <a:stretch>
                    <a:fillRect/>
                  </a:stretch>
                </pic:blipFill>
                <pic:spPr bwMode="auto">
                  <a:xfrm>
                    <a:off x="0" y="0"/>
                    <a:ext cx="4472305" cy="4507865"/>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pStyle w:val="Heading6"/>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chineseCountingThousand"/>
      <w:suff w:val="nothing"/>
      <w:lvlText w:val="%1、"/>
      <w:lvlJc w:val="start"/>
      <w:pPr>
        <w:tabs>
          <w:tab w:val="num" w:pos="0"/>
        </w:tabs>
        <w:ind w:start="0" w:hanging="0"/>
      </w:pPr>
      <w:rPr>
        <w:rFonts w:hint="eastAsia"/>
      </w:rPr>
    </w:lvl>
  </w:abstractNum>
  <w:num w:numId="1">
    <w:abstractNumId w:val="1"/>
  </w:num>
  <w:num w:numId="2">
    <w:abstractNumId w:val="2"/>
  </w:num>
</w:numbering>
</file>

<file path=word/settings.xml><?xml version="1.0" encoding="utf-8"?>
<w:settings xmlns:w="http://schemas.openxmlformats.org/wordprocessingml/2006/main">
  <w:zoom w:percent="100"/>
  <w:defaultTabStop w:val="420"/>
  <w:autoHyphenation w:val="true"/>
  <w:hyphenationZone w:val="0"/>
  <w:compat>
    <w:doNotExpandShiftReturn/>
    <w:adjustLineHeightInTable/>
    <w:compatSetting w:name="compatibilityMode" w:uri="http://schemas.microsoft.com/office/word" w:val="11"/>
  </w:compat>
  <w:docVars>
    <w:docVar w:name="commondata" w:val="eyJoZGlkIjoiNGQ5ODQ5N2Q1NmI0ZDAwYTJiMTcyMmU3ZjhhMWE4NmEifQ=="/>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宋体" w:cs="Lucida Sans"/>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2"/>
      <w:lang w:bidi="ar-SA" w:val="en-US" w:eastAsia="zh-CN"/>
    </w:rPr>
  </w:style>
  <w:style w:type="paragraph" w:styleId="Heading6">
    <w:name w:val="heading 6"/>
    <w:basedOn w:val="Normal"/>
    <w:next w:val="Normal"/>
    <w:qFormat/>
    <w:pPr>
      <w:numPr>
        <w:ilvl w:val="5"/>
        <w:numId w:val="1"/>
      </w:numPr>
      <w:spacing w:before="100" w:after="100"/>
      <w:jc w:val="start"/>
      <w:outlineLvl w:val="5"/>
    </w:pPr>
    <w:rPr>
      <w:rFonts w:ascii="宋体;SimSun" w:hAnsi="宋体;SimSun" w:cs="宋体;SimSun"/>
      <w:b/>
      <w:kern w:val="0"/>
      <w:sz w:val="15"/>
      <w:szCs w:val="15"/>
    </w:rPr>
  </w:style>
  <w:style w:type="character" w:styleId="WW8Num1z0">
    <w:name w:val="WW8Num1z0"/>
    <w:qFormat/>
    <w:rPr>
      <w:rFonts w:hint="eastAsia"/>
    </w:rPr>
  </w:style>
  <w:style w:type="character" w:styleId="WW8Num2z0">
    <w:name w:val="WW8Num2z0"/>
    <w:qFormat/>
    <w:rPr>
      <w:rFonts w:hint="eastAsia"/>
    </w:rPr>
  </w:style>
  <w:style w:type="character" w:styleId="Style13">
    <w:name w:val="默认段落字体"/>
    <w:qFormat/>
    <w:rPr/>
  </w:style>
  <w:style w:type="character" w:styleId="6">
    <w:name w:val="标题 6 字符"/>
    <w:qFormat/>
    <w:rPr>
      <w:rFonts w:ascii="宋体;SimSun" w:hAnsi="宋体;SimSun" w:cs="宋体;SimSun"/>
      <w:b/>
      <w:sz w:val="15"/>
      <w:szCs w:val="15"/>
    </w:rPr>
  </w:style>
  <w:style w:type="character" w:styleId="Style14">
    <w:name w:val="批注框文本 字符"/>
    <w:qFormat/>
    <w:rPr>
      <w:sz w:val="18"/>
      <w:szCs w:val="18"/>
    </w:rPr>
  </w:style>
  <w:style w:type="character" w:styleId="Style15">
    <w:name w:val="页脚 字符"/>
    <w:qFormat/>
    <w:rPr>
      <w:sz w:val="18"/>
      <w:szCs w:val="18"/>
    </w:rPr>
  </w:style>
  <w:style w:type="character" w:styleId="Style16">
    <w:name w:val="页眉 字符"/>
    <w:qFormat/>
    <w:rPr>
      <w:sz w:val="18"/>
      <w:szCs w:val="18"/>
    </w:rPr>
  </w:style>
  <w:style w:type="character" w:styleId="Hyperlink">
    <w:name w:val="Hyperlink"/>
    <w:rPr>
      <w:color w:val="0563C1"/>
      <w:u w:val="single"/>
    </w:rPr>
  </w:style>
  <w:style w:type="paragraph" w:styleId="Style17">
    <w:name w:val="标题样式"/>
    <w:basedOn w:val="Normal"/>
    <w:next w:val="BodyText"/>
    <w:qFormat/>
    <w:pPr>
      <w:keepNext w:val="true"/>
      <w:spacing w:before="240" w:after="120"/>
    </w:pPr>
    <w:rPr>
      <w:rFonts w:ascii="Liberation Sans" w:hAnsi="Liberation Sans" w:eastAsia="Noto Sans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8">
    <w:name w:val="索引"/>
    <w:basedOn w:val="Normal"/>
    <w:qFormat/>
    <w:pPr>
      <w:suppressLineNumbers/>
    </w:pPr>
    <w:rPr>
      <w:rFonts w:cs="Lucida Sans"/>
    </w:rPr>
  </w:style>
  <w:style w:type="paragraph" w:styleId="Style19">
    <w:name w:val="批注框文本"/>
    <w:basedOn w:val="Normal"/>
    <w:qFormat/>
    <w:pPr/>
    <w:rPr>
      <w:kern w:val="0"/>
      <w:sz w:val="18"/>
      <w:szCs w:val="18"/>
    </w:rPr>
  </w:style>
  <w:style w:type="paragraph" w:styleId="Style20">
    <w:name w:val="页眉与页脚"/>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kern w:val="0"/>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kern w:val="0"/>
      <w:sz w:val="18"/>
      <w:szCs w:val="18"/>
    </w:rPr>
  </w:style>
  <w:style w:type="paragraph" w:styleId="Style21">
    <w:name w:val="普通(网站)"/>
    <w:basedOn w:val="Normal"/>
    <w:qFormat/>
    <w:pPr>
      <w:widowControl/>
      <w:spacing w:before="100" w:after="100"/>
      <w:jc w:val="start"/>
    </w:pPr>
    <w:rPr>
      <w:rFonts w:ascii="宋体;SimSun" w:hAnsi="宋体;SimSun" w:eastAsia="宋体;SimSun" w:cs="宋体;SimSun"/>
      <w:kern w:val="0"/>
      <w:sz w:val="24"/>
      <w:szCs w:val="24"/>
    </w:rPr>
  </w:style>
  <w:style w:type="paragraph" w:styleId="Style22">
    <w:name w:val="表格内容"/>
    <w:basedOn w:val="Normal"/>
    <w:qFormat/>
    <w:pPr>
      <w:widowControl w:val="false"/>
      <w:suppressLineNumbers/>
    </w:pPr>
    <w:rPr/>
  </w:style>
  <w:style w:type="paragraph" w:styleId="Style23">
    <w:name w:val="表格标题"/>
    <w:basedOn w:val="Style22"/>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17</TotalTime>
  <Application>LibreOffice/26.2.5.2$Windows_X86_64 LibreOffice_project/cd7284b4cbbfeb507e630c1aac019f4157393acb</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2021-01-23T14:22:00Z</dcterms:created>
  <dc:creator>Administrator</dc:creator>
  <dc:description/>
  <cp:keywords/>
  <dc:language>zh-CN</dc:language>
  <cp:lastModifiedBy>方源 杨</cp:lastModifiedBy>
  <dcterms:modified xsi:type="dcterms:W3CDTF">2026-01-01T16:52:00Z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3EF95DC292B84B5FA025F1033CA2AB27_13</vt:lpwstr>
  </property>
  <property fmtid="{D5CDD505-2E9C-101B-9397-08002B2CF9AE}" pid="3" name="KSOProductBuildVer">
    <vt:lpwstr>2052-12.1.0.16120</vt:lpwstr>
  </property>
  <property fmtid="{D5CDD505-2E9C-101B-9397-08002B2CF9AE}" pid="4" name="commondata">
    <vt:lpwstr>eyJoZGlkIjoiNGQ5ODQ5N2Q1NmI0ZDAwYTJiMTcyMmU3ZjhhMWE4NmEifQ==</vt:lpwstr>
  </property>
</Properties>
</file>