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yle21"/>
        <w:snapToGrid w:val="false"/>
        <w:spacing w:lineRule="exact" w:line="500" w:before="0" w:after="100"/>
        <w:ind w:hangingChars="600" w:startChars="0" w:start="0" w:endChars="0" w:end="0"/>
        <w:rPr>
          <w:rFonts w:hint="eastAsia"/>
          <w:b/>
          <w:sz w:val="21"/>
          <w:szCs w:val="21"/>
          <w:lang w:val="zh-CN" w:eastAsia="zh-CN"/>
        </w:rPr>
      </w:pPr>
      <w:r>
        <w:drawing>
          <wp:anchor distT="0" distB="0" distL="114935" distR="114935" simplePos="0" relativeHeight="7" behindDoc="0" locked="0" layoutInCell="1" allowOverlap="1">
            <wp:simplePos x="0" y="0"/>
            <wp:positionH relativeFrom="column">
              <wp:posOffset>790575</wp:posOffset>
            </wp:positionH>
            <wp:positionV relativeFrom="paragraph">
              <wp:posOffset>-152400</wp:posOffset>
            </wp:positionV>
            <wp:extent cx="3457575" cy="1076325"/>
            <wp:effectExtent l="0" t="0" r="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2"/>
                    <a:srcRect l="-5" t="-17" r="-5" b="-17"/>
                    <a:stretch>
                      <a:fillRect/>
                    </a:stretch>
                  </pic:blipFill>
                  <pic:spPr bwMode="auto">
                    <a:xfrm>
                      <a:off x="0" y="0"/>
                      <a:ext cx="3457575" cy="1076325"/>
                    </a:xfrm>
                    <a:prstGeom prst="rect">
                      <a:avLst/>
                    </a:prstGeom>
                    <a:noFill/>
                  </pic:spPr>
                </pic:pic>
              </a:graphicData>
            </a:graphic>
          </wp:anchor>
        </w:drawing>
      </w:r>
      <w:r>
        <w:rPr>
          <w:b/>
          <w:sz w:val="21"/>
          <w:szCs w:val="21"/>
        </w:rPr>
        <w:t>　</w:t>
      </w:r>
    </w:p>
    <w:p>
      <w:pPr>
        <w:pStyle w:val="Style21"/>
        <w:snapToGrid w:val="false"/>
        <w:spacing w:lineRule="exact" w:line="500" w:before="100" w:after="100"/>
        <w:ind w:hangingChars="600" w:startChars="0" w:start="0" w:endChars="0" w:end="0"/>
        <w:contextualSpacing/>
        <w:rPr>
          <w:rFonts w:hint="eastAsia"/>
          <w:b/>
          <w:sz w:val="21"/>
          <w:szCs w:val="21"/>
          <w:lang w:val="zh-CN" w:eastAsia="zh-CN"/>
        </w:rPr>
      </w:pPr>
      <w:r>
        <w:rPr>
          <w:rFonts w:hint="eastAsia"/>
          <w:b/>
          <w:sz w:val="21"/>
          <w:szCs w:val="21"/>
          <w:lang w:val="zh-CN" w:eastAsia="zh-CN"/>
        </w:rPr>
      </w:r>
    </w:p>
    <w:p>
      <w:pPr>
        <w:pStyle w:val="Style21"/>
        <w:tabs>
          <w:tab w:val="clear" w:pos="420"/>
          <w:tab w:val="left" w:pos="7530" w:leader="none"/>
        </w:tabs>
        <w:snapToGrid w:val="false"/>
        <w:spacing w:lineRule="exact" w:line="500" w:before="100" w:after="100"/>
        <w:ind w:hangingChars="600" w:startChars="0" w:start="0" w:endChars="0" w:end="0"/>
        <w:contextualSpacing/>
        <w:rPr>
          <w:rFonts w:hint="eastAsia"/>
          <w:b/>
          <w:sz w:val="21"/>
          <w:szCs w:val="21"/>
          <w:lang w:val="zh-CN" w:eastAsia="zh-CN"/>
        </w:rPr>
      </w:pPr>
      <w:r>
        <w:rPr>
          <w:b/>
          <w:sz w:val="21"/>
          <w:szCs w:val="21"/>
          <w:lang w:val="zh-CN" w:eastAsia="zh-CN"/>
        </w:rPr>
        <w:tab/>
      </w:r>
    </w:p>
    <w:p>
      <w:pPr>
        <w:pStyle w:val="Style21"/>
        <w:spacing w:lineRule="exact" w:line="500" w:before="100" w:after="100"/>
        <w:contextualSpacing/>
        <w:jc w:val="center"/>
        <w:rPr>
          <w:b/>
          <w:sz w:val="30"/>
          <w:szCs w:val="30"/>
        </w:rPr>
      </w:pPr>
      <w:r>
        <w:rPr>
          <w:rFonts w:hint="eastAsia"/>
          <w:b/>
          <w:sz w:val="30"/>
          <w:szCs w:val="30"/>
        </w:rPr>
        <w:t>2026</w:t>
      </w:r>
      <w:r>
        <w:rPr>
          <w:b/>
          <w:sz w:val="30"/>
          <w:szCs w:val="30"/>
        </w:rPr>
        <w:t>年中国人民大学</w:t>
      </w:r>
      <w:r>
        <w:rPr>
          <w:rFonts w:hint="eastAsia"/>
          <w:b/>
          <w:sz w:val="30"/>
          <w:szCs w:val="30"/>
        </w:rPr>
        <w:t>计算机应用技术</w:t>
      </w:r>
      <w:r>
        <w:rPr>
          <w:b/>
          <w:sz w:val="30"/>
          <w:szCs w:val="30"/>
        </w:rPr>
        <w:t>专业在职课程培训班</w:t>
      </w:r>
    </w:p>
    <w:p>
      <w:pPr>
        <w:pStyle w:val="Style21"/>
        <w:spacing w:lineRule="exact" w:line="500" w:before="100" w:after="100"/>
        <w:ind w:hangingChars="800" w:startChars="300" w:endChars="0" w:end="0"/>
        <w:contextualSpacing/>
        <w:jc w:val="center"/>
        <w:rPr>
          <w:b/>
          <w:sz w:val="30"/>
          <w:szCs w:val="30"/>
        </w:rPr>
      </w:pPr>
      <w:r>
        <w:rPr>
          <w:rFonts w:hint="eastAsia"/>
          <w:b/>
          <w:sz w:val="30"/>
          <w:szCs w:val="30"/>
        </w:rPr>
        <w:t>招生简章</w:t>
      </w:r>
    </w:p>
    <w:p>
      <w:pPr>
        <w:pStyle w:val="Style21"/>
        <w:spacing w:lineRule="exact" w:line="500" w:before="100" w:after="100"/>
        <w:contextualSpacing/>
        <w:rPr>
          <w:sz w:val="21"/>
          <w:szCs w:val="21"/>
        </w:rPr>
      </w:pPr>
      <w:r>
        <mc:AlternateContent>
          <mc:Choice Requires="wps">
            <w:drawing>
              <wp:anchor distT="0" distB="0" distL="114935" distR="114935" simplePos="0" relativeHeight="6" behindDoc="0" locked="0" layoutInCell="1" allowOverlap="1">
                <wp:simplePos x="0" y="0"/>
                <wp:positionH relativeFrom="column">
                  <wp:posOffset>9525</wp:posOffset>
                </wp:positionH>
                <wp:positionV relativeFrom="paragraph">
                  <wp:posOffset>203200</wp:posOffset>
                </wp:positionV>
                <wp:extent cx="5477510" cy="1270"/>
                <wp:effectExtent l="635" t="3175" r="635" b="3175"/>
                <wp:wrapNone/>
                <wp:docPr id="2" name="自选图形 6"/>
                <a:graphic xmlns:a="http://schemas.openxmlformats.org/drawingml/2006/main">
                  <a:graphicData uri="http://schemas.microsoft.com/office/word/2010/wordprocessingShape">
                    <wps:wsp>
                      <wps:cNvCnPr/>
                      <wps:spPr>
                        <a:xfrm>
                          <a:off x="0" y="0"/>
                          <a:ext cx="5478120" cy="1800"/>
                        </a:xfrm>
                        <a:prstGeom prst="straightConnector1">
                          <a:avLst/>
                        </a:prstGeom>
                        <a:ln w="6480">
                          <a:solidFill>
                            <a:srgbClr val="C00000"/>
                          </a:solidFill>
                          <a:miter/>
                        </a:ln>
                      </wps:spPr>
                      <wps:bodyPr/>
                    </wps:wsp>
                  </a:graphicData>
                </a:graphic>
              </wp:anchor>
            </w:drawing>
          </mc:Choice>
          <mc:Fallback>
            <w:pict>
              <v:shapetype id="_x0000_t32" coordsize="21600,21600" o:spt="32" path="m,l21600,21600nfe">
                <v:stroke joinstyle="miter"/>
                <v:path gradientshapeok="t" o:connecttype="rect" textboxrect="0,0,21600,21600"/>
              </v:shapetype>
              <v:shape id="shape_0" stroked="t" o:allowincell="f" style="position:absolute;margin-left:0.75pt;margin-top:16pt;width:431.3pt;height:0.1pt" type="_x0000_t32">
                <v:stroke color="#c00000" weight="6480" joinstyle="miter" endcap="flat"/>
                <v:fill o:detectmouseclick="t" on="false"/>
                <w10:wrap type="none"/>
              </v:shape>
            </w:pict>
          </mc:Fallback>
        </mc:AlternateContent>
      </w:r>
      <w:r>
        <w:rPr>
          <w:sz w:val="21"/>
          <w:szCs w:val="21"/>
        </w:rPr>
        <w:t>　　</w:t>
      </w:r>
    </w:p>
    <w:p>
      <w:pPr>
        <w:pStyle w:val="Style21"/>
        <w:spacing w:lineRule="exact" w:line="500" w:before="100" w:after="100"/>
        <w:contextualSpacing/>
        <w:rPr>
          <w:sz w:val="21"/>
          <w:szCs w:val="21"/>
        </w:rPr>
      </w:pPr>
      <w:r>
        <w:rPr>
          <w:sz w:val="21"/>
          <w:szCs w:val="21"/>
        </w:rPr>
        <w:t>培训类别：</w:t>
      </w:r>
      <w:r>
        <w:rPr>
          <w:color w:val="C00000"/>
          <w:sz w:val="21"/>
          <w:szCs w:val="21"/>
        </w:rPr>
        <w:t>课程班</w:t>
      </w:r>
      <w:r>
        <w:rPr>
          <w:color w:val="C00000"/>
          <w:sz w:val="21"/>
          <w:szCs w:val="21"/>
        </w:rPr>
        <w:t>[</w:t>
      </w:r>
      <w:r>
        <w:rPr>
          <w:rFonts w:hint="eastAsia"/>
          <w:color w:val="C00000"/>
          <w:sz w:val="21"/>
          <w:szCs w:val="21"/>
        </w:rPr>
        <w:t>理工</w:t>
      </w:r>
      <w:r>
        <w:rPr>
          <w:color w:val="C00000"/>
          <w:sz w:val="21"/>
          <w:szCs w:val="21"/>
        </w:rPr>
        <w:t>]</w:t>
      </w:r>
      <w:r>
        <w:rPr>
          <w:sz w:val="21"/>
          <w:szCs w:val="21"/>
        </w:rPr>
        <w:t xml:space="preserve">      </w:t>
      </w:r>
      <w:r>
        <w:rPr>
          <w:sz w:val="21"/>
          <w:szCs w:val="21"/>
        </w:rPr>
        <w:t>培训费：</w:t>
      </w:r>
      <w:r>
        <w:rPr>
          <w:rFonts w:hint="eastAsia"/>
          <w:color w:val="C00000"/>
          <w:sz w:val="21"/>
          <w:szCs w:val="21"/>
        </w:rPr>
        <w:t>380</w:t>
      </w:r>
      <w:r>
        <w:rPr>
          <w:color w:val="C00000"/>
          <w:sz w:val="21"/>
          <w:szCs w:val="21"/>
        </w:rPr>
        <w:t>00.00</w:t>
      </w:r>
      <w:r>
        <w:rPr>
          <w:color w:val="C00000"/>
          <w:sz w:val="21"/>
          <w:szCs w:val="21"/>
        </w:rPr>
        <w:t xml:space="preserve">元 </w:t>
      </w:r>
      <w:r>
        <w:rPr>
          <w:sz w:val="21"/>
          <w:szCs w:val="21"/>
        </w:rPr>
        <w:t xml:space="preserve">    主办单位：</w:t>
      </w:r>
      <w:r>
        <w:rPr>
          <w:rFonts w:hint="eastAsia"/>
          <w:color w:val="C00000"/>
          <w:sz w:val="21"/>
          <w:szCs w:val="21"/>
        </w:rPr>
        <w:t>信息</w:t>
      </w:r>
      <w:r>
        <w:rPr>
          <w:color w:val="C00000"/>
          <w:sz w:val="21"/>
          <w:szCs w:val="21"/>
        </w:rPr>
        <w:t>学院</w:t>
      </w:r>
    </w:p>
    <w:p>
      <w:pPr>
        <w:pStyle w:val="Normal"/>
        <w:spacing w:lineRule="exact" w:line="500"/>
        <w:ind w:firstLineChars="200" w:startChars="0" w:start="0" w:endChars="0" w:end="0"/>
        <w:rPr>
          <w:rFonts w:ascii="宋体;SimSun" w:hAnsi="宋体;SimSun" w:cs="宋体;SimSun"/>
          <w:szCs w:val="21"/>
        </w:rPr>
      </w:pPr>
      <w:r>
        <w:rPr>
          <w:rFonts w:ascii="宋体;SimSun" w:hAnsi="宋体;SimSun" w:cs="宋体;SimSun" w:hint="eastAsia"/>
          <w:szCs w:val="21"/>
        </w:rPr>
        <w:t>中国人民大学是一所以人文社会科学为主的综合性研究型全国重点大学。学校是国家“</w:t>
      </w:r>
      <w:r>
        <w:rPr>
          <w:rFonts w:cs="宋体;SimSun" w:hint="eastAsia" w:ascii="宋体;SimSun" w:hAnsi="宋体;SimSun"/>
          <w:szCs w:val="21"/>
        </w:rPr>
        <w:t>985</w:t>
      </w:r>
      <w:r>
        <w:rPr>
          <w:rFonts w:ascii="宋体;SimSun" w:hAnsi="宋体;SimSun" w:cs="宋体;SimSun" w:hint="eastAsia"/>
          <w:szCs w:val="21"/>
        </w:rPr>
        <w:t>工程”和“</w:t>
      </w:r>
      <w:r>
        <w:rPr>
          <w:rFonts w:cs="宋体;SimSun" w:hint="eastAsia" w:ascii="宋体;SimSun" w:hAnsi="宋体;SimSun"/>
          <w:szCs w:val="21"/>
        </w:rPr>
        <w:t>211</w:t>
      </w:r>
      <w:r>
        <w:rPr>
          <w:rFonts w:ascii="宋体;SimSun" w:hAnsi="宋体;SimSun" w:cs="宋体;SimSun" w:hint="eastAsia"/>
          <w:szCs w:val="21"/>
        </w:rPr>
        <w:t>工程”重点建设的大学之一，在长期办学实践中成绩显著被誉为“我国人文社会科学高等教育领域的一面旗帜”。</w:t>
      </w:r>
    </w:p>
    <w:p>
      <w:pPr>
        <w:pStyle w:val="Style21"/>
        <w:spacing w:lineRule="exact" w:line="500" w:before="100" w:after="100"/>
        <w:contextualSpacing/>
        <w:rPr>
          <w:b/>
          <w:color w:val="C00000"/>
          <w:sz w:val="21"/>
          <w:szCs w:val="21"/>
        </w:rPr>
      </w:pPr>
      <w:r>
        <w:rPr>
          <w:b/>
          <w:color w:val="C00000"/>
          <w:sz w:val="21"/>
          <w:szCs w:val="21"/>
        </w:rPr>
        <w:t>一、学院及专业优势简介</w:t>
      </w:r>
    </w:p>
    <w:p>
      <w:pPr>
        <w:pStyle w:val="Style21"/>
        <w:spacing w:lineRule="exact" w:line="500" w:before="100" w:after="100"/>
        <w:ind w:firstLineChars="200" w:startChars="0" w:start="0" w:endChars="0" w:end="0"/>
        <w:contextualSpacing/>
        <w:rPr>
          <w:bCs/>
          <w:sz w:val="21"/>
          <w:szCs w:val="21"/>
        </w:rPr>
      </w:pPr>
      <w:r>
        <w:rPr>
          <w:bCs/>
          <w:sz w:val="21"/>
          <w:szCs w:val="21"/>
        </w:rPr>
        <w:t>中国人民大学信息学院创建于</w:t>
      </w:r>
      <w:r>
        <w:rPr>
          <w:bCs/>
          <w:sz w:val="21"/>
          <w:szCs w:val="21"/>
        </w:rPr>
        <w:t>1978</w:t>
      </w:r>
      <w:r>
        <w:rPr>
          <w:bCs/>
          <w:sz w:val="21"/>
          <w:szCs w:val="21"/>
        </w:rPr>
        <w:t>年，前身是我国最早用信息来命名学科的经济信息管理系，现下设计算机系、经济信息管理系。四十多年来，信息学院始终立足学科前沿，跟踪国际先进技术，是国内最早开展数据库和信息系统研究的团队之一，在大数据、云计算、物联网、区块链、人工智能、信息安全、软件项目管理、信息系统伦理、社会计算、电子商务等领域有深入的研究，承担了许多国家重点研发计划项目、</w:t>
      </w:r>
      <w:r>
        <w:rPr>
          <w:bCs/>
          <w:sz w:val="21"/>
          <w:szCs w:val="21"/>
        </w:rPr>
        <w:t>863</w:t>
      </w:r>
      <w:r>
        <w:rPr>
          <w:bCs/>
          <w:sz w:val="21"/>
          <w:szCs w:val="21"/>
        </w:rPr>
        <w:t>项目、</w:t>
      </w:r>
      <w:r>
        <w:rPr>
          <w:bCs/>
          <w:sz w:val="21"/>
          <w:szCs w:val="21"/>
        </w:rPr>
        <w:t>973</w:t>
      </w:r>
      <w:r>
        <w:rPr>
          <w:bCs/>
          <w:sz w:val="21"/>
          <w:szCs w:val="21"/>
        </w:rPr>
        <w:t>项目、国家自然科学基金重点项目、国家社科基金重大项目、教育部社科重大攻关项目以及大量的企事业单位委托项目。学院教授先后荣获原电子部科技进步特等奖、国家科技进步二等奖、北京市科技进步一等奖、二等奖，教育部科技进步二等奖等多项奖励。目前拥有教育部数据库与商务智能工程研究中心、数据工程与知识工程教育部重点实验室以及北京市数据库产业化基地等多个省部级的研究机构，成为我校文理交叉的一个典范。</w:t>
      </w:r>
    </w:p>
    <w:p>
      <w:pPr>
        <w:pStyle w:val="Style21"/>
        <w:spacing w:lineRule="exact" w:line="500" w:before="100" w:after="100"/>
        <w:ind w:firstLineChars="200" w:startChars="0" w:start="0" w:endChars="0" w:end="0"/>
        <w:contextualSpacing/>
        <w:rPr>
          <w:bCs/>
          <w:sz w:val="21"/>
          <w:szCs w:val="21"/>
        </w:rPr>
      </w:pPr>
      <w:r>
        <w:rPr>
          <w:bCs/>
          <w:sz w:val="21"/>
          <w:szCs w:val="21"/>
        </w:rPr>
        <w:t>计算机应用技术专业是博士学位授予点，是我国</w:t>
      </w:r>
      <w:r>
        <w:rPr>
          <w:bCs/>
          <w:sz w:val="21"/>
          <w:szCs w:val="21"/>
        </w:rPr>
        <w:t>1981</w:t>
      </w:r>
      <w:r>
        <w:rPr>
          <w:bCs/>
          <w:sz w:val="21"/>
          <w:szCs w:val="21"/>
        </w:rPr>
        <w:t>年第一批设立的硕士学位授予点，北京市重点学科，获高等学校特色专业称号。数据库和信息系统领域学术研究位居全国领先地位，为中国计算机学会数据库专业委员会和中国信息经济学会的挂靠单位。学院师资强大，多名教授获国家教学名师、中国信息化十大杰出人物、推动中国软件产业发展的</w:t>
      </w:r>
      <w:r>
        <w:rPr>
          <w:bCs/>
          <w:sz w:val="21"/>
          <w:szCs w:val="21"/>
        </w:rPr>
        <w:t>25</w:t>
      </w:r>
      <w:r>
        <w:rPr>
          <w:bCs/>
          <w:sz w:val="21"/>
          <w:szCs w:val="21"/>
        </w:rPr>
        <w:t>位功勋人物、中国计算机学会“王选奖”、中国计算机学会会士（</w:t>
      </w:r>
      <w:r>
        <w:rPr>
          <w:bCs/>
          <w:sz w:val="21"/>
          <w:szCs w:val="21"/>
        </w:rPr>
        <w:t>Fellow</w:t>
      </w:r>
      <w:r>
        <w:rPr>
          <w:bCs/>
          <w:sz w:val="21"/>
          <w:szCs w:val="21"/>
        </w:rPr>
        <w:t>）、霍英东青年教师研究基金资助人才、新世纪优秀人才支持计划等殊荣。</w:t>
      </w:r>
    </w:p>
    <w:p>
      <w:pPr>
        <w:pStyle w:val="Style21"/>
        <w:spacing w:lineRule="exact" w:line="500" w:before="100" w:after="100"/>
        <w:ind w:firstLineChars="200" w:startChars="0" w:start="0" w:endChars="0" w:end="0"/>
        <w:contextualSpacing/>
        <w:rPr>
          <w:bCs/>
          <w:sz w:val="21"/>
          <w:szCs w:val="21"/>
        </w:rPr>
      </w:pPr>
      <w:r>
        <w:rPr>
          <w:bCs/>
          <w:sz w:val="21"/>
          <w:szCs w:val="21"/>
        </w:rPr>
        <w:t> </w:t>
      </w:r>
    </w:p>
    <w:p>
      <w:pPr>
        <w:pStyle w:val="Style21"/>
        <w:spacing w:lineRule="exact" w:line="500" w:before="100" w:after="100"/>
        <w:ind w:firstLineChars="200" w:startChars="0" w:start="0" w:endChars="0" w:end="0"/>
        <w:contextualSpacing/>
        <w:rPr>
          <w:bCs/>
          <w:sz w:val="21"/>
          <w:szCs w:val="21"/>
        </w:rPr>
      </w:pPr>
      <w:r>
        <w:rPr>
          <w:bCs/>
          <w:sz w:val="21"/>
          <w:szCs w:val="21"/>
        </w:rPr>
        <w:t>中国人民大学信息学院“六个第一”：</w:t>
      </w:r>
    </w:p>
    <w:p>
      <w:pPr>
        <w:pStyle w:val="Style21"/>
        <w:spacing w:lineRule="exact" w:line="500" w:before="100" w:after="100"/>
        <w:ind w:firstLineChars="200" w:startChars="0" w:start="0" w:endChars="0" w:end="0"/>
        <w:contextualSpacing/>
        <w:rPr>
          <w:bCs/>
          <w:sz w:val="21"/>
          <w:szCs w:val="21"/>
        </w:rPr>
      </w:pPr>
      <w:r>
        <w:rPr>
          <w:bCs/>
          <w:sz w:val="21"/>
          <w:szCs w:val="21"/>
        </w:rPr>
        <w:t>★</w:t>
      </w:r>
      <w:r>
        <w:rPr>
          <w:bCs/>
          <w:sz w:val="21"/>
          <w:szCs w:val="21"/>
        </w:rPr>
        <w:t>第一个将“信息”一词用作我国高校的专业名称：“经济信息管理”。</w:t>
      </w:r>
    </w:p>
    <w:p>
      <w:pPr>
        <w:pStyle w:val="Style21"/>
        <w:spacing w:lineRule="exact" w:line="500" w:before="100" w:after="100"/>
        <w:ind w:firstLineChars="200" w:startChars="0" w:start="0" w:endChars="0" w:end="0"/>
        <w:contextualSpacing/>
        <w:rPr>
          <w:bCs/>
          <w:sz w:val="21"/>
          <w:szCs w:val="21"/>
        </w:rPr>
      </w:pPr>
      <w:r>
        <w:rPr>
          <w:bCs/>
          <w:sz w:val="21"/>
          <w:szCs w:val="21"/>
        </w:rPr>
        <w:t>★</w:t>
      </w:r>
      <w:r>
        <w:rPr>
          <w:bCs/>
          <w:sz w:val="21"/>
          <w:szCs w:val="21"/>
        </w:rPr>
        <w:t>第一个以信息技术在经济管理领域应用为特色的系科：经济信息管理系（</w:t>
      </w:r>
      <w:r>
        <w:rPr>
          <w:bCs/>
          <w:sz w:val="21"/>
          <w:szCs w:val="21"/>
        </w:rPr>
        <w:t>1978</w:t>
      </w:r>
      <w:r>
        <w:rPr>
          <w:bCs/>
          <w:sz w:val="21"/>
          <w:szCs w:val="21"/>
        </w:rPr>
        <w:t>年），发展为信息学院。</w:t>
      </w:r>
    </w:p>
    <w:p>
      <w:pPr>
        <w:pStyle w:val="Style21"/>
        <w:spacing w:lineRule="exact" w:line="500" w:before="100" w:after="100"/>
        <w:ind w:firstLineChars="200" w:startChars="0" w:start="0" w:endChars="0" w:end="0"/>
        <w:contextualSpacing/>
        <w:rPr>
          <w:bCs/>
          <w:sz w:val="21"/>
          <w:szCs w:val="21"/>
        </w:rPr>
      </w:pPr>
      <w:r>
        <w:rPr>
          <w:bCs/>
          <w:sz w:val="21"/>
          <w:szCs w:val="21"/>
        </w:rPr>
        <w:t>★</w:t>
      </w:r>
      <w:r>
        <w:rPr>
          <w:bCs/>
          <w:sz w:val="21"/>
          <w:szCs w:val="21"/>
        </w:rPr>
        <w:t>第一批我国高校计算机应用技术硕士点授予单位。</w:t>
      </w:r>
    </w:p>
    <w:p>
      <w:pPr>
        <w:pStyle w:val="Style21"/>
        <w:spacing w:lineRule="exact" w:line="500" w:before="100" w:after="100"/>
        <w:ind w:firstLineChars="200" w:startChars="0" w:start="0" w:endChars="0" w:end="0"/>
        <w:contextualSpacing/>
        <w:rPr>
          <w:bCs/>
          <w:sz w:val="21"/>
          <w:szCs w:val="21"/>
        </w:rPr>
      </w:pPr>
      <w:r>
        <w:rPr>
          <w:bCs/>
          <w:sz w:val="21"/>
          <w:szCs w:val="21"/>
        </w:rPr>
        <w:t>★</w:t>
      </w:r>
      <w:r>
        <w:rPr>
          <w:bCs/>
          <w:sz w:val="21"/>
          <w:szCs w:val="21"/>
        </w:rPr>
        <w:t>第一批我国高校数量经济学硕士点授予单位。</w:t>
      </w:r>
    </w:p>
    <w:p>
      <w:pPr>
        <w:pStyle w:val="Style21"/>
        <w:spacing w:lineRule="exact" w:line="500" w:before="100" w:after="100"/>
        <w:ind w:firstLineChars="200" w:startChars="0" w:start="0" w:endChars="0" w:end="0"/>
        <w:contextualSpacing/>
        <w:rPr>
          <w:bCs/>
          <w:sz w:val="21"/>
          <w:szCs w:val="21"/>
        </w:rPr>
      </w:pPr>
      <w:r>
        <w:rPr>
          <w:bCs/>
          <w:sz w:val="21"/>
          <w:szCs w:val="21"/>
        </w:rPr>
        <w:t>★</w:t>
      </w:r>
      <w:r>
        <w:rPr>
          <w:bCs/>
          <w:sz w:val="21"/>
          <w:szCs w:val="21"/>
        </w:rPr>
        <w:t>第一个教育部数据库与商务智能工程研究中心。</w:t>
      </w:r>
    </w:p>
    <w:p>
      <w:pPr>
        <w:pStyle w:val="Style21"/>
        <w:spacing w:lineRule="exact" w:line="500" w:before="100" w:after="100"/>
        <w:ind w:firstLineChars="200" w:startChars="0" w:start="0" w:endChars="0" w:end="0"/>
        <w:contextualSpacing/>
        <w:rPr>
          <w:bCs/>
          <w:sz w:val="21"/>
          <w:szCs w:val="21"/>
        </w:rPr>
      </w:pPr>
      <w:r>
        <w:rPr>
          <w:bCs/>
          <w:sz w:val="21"/>
          <w:szCs w:val="21"/>
        </w:rPr>
        <w:t>★</w:t>
      </w:r>
      <w:r>
        <w:rPr>
          <w:bCs/>
          <w:sz w:val="21"/>
          <w:szCs w:val="21"/>
        </w:rPr>
        <w:t>第一个北京市软件产业化中心：数据库产业化基地。</w:t>
      </w:r>
    </w:p>
    <w:p>
      <w:pPr>
        <w:pStyle w:val="Style21"/>
        <w:spacing w:lineRule="exact" w:line="500" w:before="100" w:after="100"/>
        <w:contextualSpacing/>
        <w:rPr>
          <w:rFonts w:hint="eastAsia"/>
          <w:b/>
          <w:color w:val="C00000"/>
          <w:sz w:val="21"/>
          <w:szCs w:val="21"/>
        </w:rPr>
      </w:pPr>
      <w:r>
        <w:rPr>
          <w:rFonts w:hint="eastAsia"/>
          <w:b/>
          <w:bCs/>
          <w:color w:val="C00000"/>
          <w:sz w:val="21"/>
          <w:szCs w:val="21"/>
        </w:rPr>
      </w:r>
    </w:p>
    <w:p>
      <w:pPr>
        <w:pStyle w:val="Style21"/>
        <w:spacing w:lineRule="exact" w:line="500" w:before="100" w:after="100"/>
        <w:contextualSpacing/>
        <w:rPr>
          <w:b/>
          <w:color w:val="C00000"/>
          <w:sz w:val="21"/>
          <w:szCs w:val="21"/>
        </w:rPr>
      </w:pPr>
      <w:r>
        <w:rPr>
          <w:b/>
          <w:color w:val="C00000"/>
          <w:sz w:val="21"/>
          <w:szCs w:val="21"/>
        </w:rPr>
        <w:t>二、</w:t>
      </w:r>
      <w:r>
        <w:rPr>
          <w:rFonts w:hint="eastAsia"/>
          <w:b/>
          <w:color w:val="C00000"/>
          <w:sz w:val="21"/>
          <w:szCs w:val="21"/>
        </w:rPr>
        <w:t>研究方向与</w:t>
      </w:r>
      <w:r>
        <w:rPr>
          <w:b/>
          <w:color w:val="C00000"/>
          <w:sz w:val="21"/>
          <w:szCs w:val="21"/>
        </w:rPr>
        <w:t>培养目标</w:t>
      </w:r>
    </w:p>
    <w:p>
      <w:pPr>
        <w:pStyle w:val="Style21"/>
        <w:spacing w:lineRule="exact" w:line="500" w:before="100" w:after="100"/>
        <w:ind w:firstLineChars="200" w:startChars="0" w:start="0" w:endChars="0" w:end="0"/>
        <w:contextualSpacing/>
        <w:rPr>
          <w:sz w:val="21"/>
          <w:szCs w:val="21"/>
        </w:rPr>
      </w:pPr>
      <w:r>
        <w:rPr>
          <w:sz w:val="21"/>
          <w:szCs w:val="21"/>
        </w:rPr>
        <w:t>研究方向：数据库与智能信息检索、数据仓库与商务智能、信息系统工程、信息系统安全等</w:t>
      </w:r>
    </w:p>
    <w:p>
      <w:pPr>
        <w:pStyle w:val="Style21"/>
        <w:spacing w:lineRule="exact" w:line="500" w:before="100" w:after="100"/>
        <w:ind w:firstLineChars="200" w:startChars="0" w:start="0" w:endChars="0" w:end="0"/>
        <w:contextualSpacing/>
        <w:rPr>
          <w:sz w:val="21"/>
          <w:szCs w:val="21"/>
        </w:rPr>
      </w:pPr>
      <w:r>
        <w:rPr>
          <w:sz w:val="21"/>
          <w:szCs w:val="21"/>
        </w:rPr>
        <w:t>计算机应用技术专业是博士学位授予点，是我国</w:t>
      </w:r>
      <w:r>
        <w:rPr>
          <w:sz w:val="21"/>
          <w:szCs w:val="21"/>
        </w:rPr>
        <w:t>1981</w:t>
      </w:r>
      <w:r>
        <w:rPr>
          <w:sz w:val="21"/>
          <w:szCs w:val="21"/>
        </w:rPr>
        <w:t>年第一批设立的硕士学位授予点，北京市重点学科，获高等学校特色专业称号。数据库和信息系统领域学术研究位居全国领先地位，为中国计算机学会数据库专业委员会和中国信息经济学会的挂靠单位。学院师资强大，多名教授获国家教学名师、中国信息化十大杰出人物、推动中国软件产业发展的</w:t>
      </w:r>
      <w:r>
        <w:rPr>
          <w:sz w:val="21"/>
          <w:szCs w:val="21"/>
        </w:rPr>
        <w:t>25</w:t>
      </w:r>
      <w:r>
        <w:rPr>
          <w:sz w:val="21"/>
          <w:szCs w:val="21"/>
        </w:rPr>
        <w:t>位功勋人物、中国计算机学会“王选奖”、中国计算机学会会士（</w:t>
      </w:r>
      <w:r>
        <w:rPr>
          <w:sz w:val="21"/>
          <w:szCs w:val="21"/>
        </w:rPr>
        <w:t>Fellow</w:t>
      </w:r>
      <w:r>
        <w:rPr>
          <w:sz w:val="21"/>
          <w:szCs w:val="21"/>
        </w:rPr>
        <w:t>）、霍英东青年教师研究基金资助人才、新世纪优秀人才支持计划等殊荣。学院积极开展对外交流与合作，为我国计算机应用技术，特别是数据库技术的发展做出了突出贡献。</w:t>
      </w:r>
    </w:p>
    <w:p>
      <w:pPr>
        <w:pStyle w:val="Style21"/>
        <w:spacing w:lineRule="exact" w:line="500" w:before="100" w:after="100"/>
        <w:ind w:firstLineChars="200" w:startChars="0" w:start="0" w:endChars="0" w:end="0"/>
        <w:contextualSpacing/>
        <w:rPr>
          <w:sz w:val="21"/>
          <w:szCs w:val="21"/>
        </w:rPr>
      </w:pPr>
      <w:r>
        <w:rPr>
          <w:sz w:val="21"/>
          <w:szCs w:val="21"/>
        </w:rPr>
        <w:t>中国人民大学信息学院是培养信息领域高素质专业人才的基地，计算机应用技术专业</w:t>
      </w:r>
      <w:r>
        <w:rPr>
          <w:sz w:val="21"/>
          <w:szCs w:val="21"/>
        </w:rPr>
        <w:t>(</w:t>
      </w:r>
      <w:r>
        <w:rPr>
          <w:sz w:val="21"/>
          <w:szCs w:val="21"/>
        </w:rPr>
        <w:t>学科门类</w:t>
      </w:r>
      <w:r>
        <w:rPr>
          <w:sz w:val="21"/>
          <w:szCs w:val="21"/>
        </w:rPr>
        <w:t>:</w:t>
      </w:r>
      <w:r>
        <w:rPr>
          <w:sz w:val="21"/>
          <w:szCs w:val="21"/>
        </w:rPr>
        <w:t>工学</w:t>
      </w:r>
      <w:r>
        <w:rPr>
          <w:sz w:val="21"/>
          <w:szCs w:val="21"/>
        </w:rPr>
        <w:t>;</w:t>
      </w:r>
      <w:r>
        <w:rPr>
          <w:sz w:val="21"/>
          <w:szCs w:val="21"/>
        </w:rPr>
        <w:t>一级学科</w:t>
      </w:r>
      <w:r>
        <w:rPr>
          <w:sz w:val="21"/>
          <w:szCs w:val="21"/>
        </w:rPr>
        <w:t>:</w:t>
      </w:r>
      <w:r>
        <w:rPr>
          <w:sz w:val="21"/>
          <w:szCs w:val="21"/>
        </w:rPr>
        <w:t>计算机科学与技术</w:t>
      </w:r>
      <w:r>
        <w:rPr>
          <w:sz w:val="21"/>
          <w:szCs w:val="21"/>
        </w:rPr>
        <w:t>)</w:t>
      </w:r>
      <w:r>
        <w:rPr>
          <w:sz w:val="21"/>
          <w:szCs w:val="21"/>
        </w:rPr>
        <w:t>主要培养具有较坚实的计算机理论基础、能够从事计算机软件系统和应用系统的研究与开发、从事计算机科学技术研究的高级专业人才。信息学院一直将培养“既能创新性思考，又能灵活性应用”作为培养的目标，依托我校现有的学科优势，在大数据分析、人工智能、金融科技、信息系统与信息服务、电子商务等领域培养出高层次实用型、复合型计算机应用技术和管理人才，所培养的学生在国内具有极佳的声誉。</w:t>
      </w:r>
    </w:p>
    <w:p>
      <w:pPr>
        <w:pStyle w:val="Style21"/>
        <w:spacing w:lineRule="exact" w:line="500" w:before="100" w:after="100"/>
        <w:ind w:firstLineChars="200" w:startChars="0" w:start="0" w:endChars="0" w:end="0"/>
        <w:contextualSpacing/>
        <w:rPr>
          <w:sz w:val="21"/>
          <w:szCs w:val="21"/>
        </w:rPr>
      </w:pPr>
      <w:r>
        <w:rPr>
          <w:sz w:val="21"/>
          <w:szCs w:val="21"/>
        </w:rPr>
      </w:r>
    </w:p>
    <w:p>
      <w:pPr>
        <w:pStyle w:val="Style21"/>
        <w:spacing w:lineRule="exact" w:line="500" w:before="100" w:after="100"/>
        <w:contextualSpacing/>
        <w:rPr>
          <w:rFonts w:hint="eastAsia"/>
          <w:b/>
          <w:color w:val="C00000"/>
          <w:sz w:val="21"/>
          <w:szCs w:val="21"/>
        </w:rPr>
      </w:pPr>
      <w:r>
        <w:rPr>
          <w:rFonts w:hint="eastAsia"/>
          <w:b/>
          <w:color w:val="C00000"/>
          <w:sz w:val="21"/>
          <w:szCs w:val="21"/>
        </w:rPr>
        <w:t>三、课程安排</w:t>
      </w:r>
    </w:p>
    <w:tbl>
      <w:tblPr>
        <w:tblW w:w="8521" w:type="dxa"/>
        <w:jc w:val="start"/>
        <w:tblInd w:w="0" w:type="dxa"/>
        <w:tblLayout w:type="fixed"/>
        <w:tblCellMar>
          <w:top w:w="0" w:type="dxa"/>
          <w:start w:w="108" w:type="dxa"/>
          <w:bottom w:w="0" w:type="dxa"/>
          <w:end w:w="108" w:type="dxa"/>
        </w:tblCellMar>
      </w:tblPr>
      <w:tblGrid>
        <w:gridCol w:w="1389"/>
        <w:gridCol w:w="3660"/>
        <w:gridCol w:w="3472"/>
      </w:tblGrid>
      <w:tr>
        <w:trPr>
          <w:trHeight w:val="567" w:hRule="atLeast"/>
        </w:trPr>
        <w:tc>
          <w:tcPr>
            <w:tcW w:w="8521" w:type="dxa"/>
            <w:gridSpan w:val="3"/>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cs="微软雅黑"/>
                <w:b w:val="false"/>
                <w:color w:val="000000"/>
                <w:sz w:val="21"/>
                <w:szCs w:val="21"/>
                <w:lang w:bidi="ar"/>
              </w:rPr>
            </w:pPr>
            <w:r>
              <w:rPr>
                <w:rFonts w:cs="微软雅黑" w:hint="eastAsia"/>
                <w:bCs/>
                <w:color w:val="000000"/>
                <w:sz w:val="21"/>
                <w:szCs w:val="21"/>
                <w:lang w:bidi="ar"/>
              </w:rPr>
              <w:t>计算机应用技术专业课程设置</w:t>
            </w:r>
          </w:p>
        </w:tc>
      </w:tr>
      <w:tr>
        <w:trPr>
          <w:trHeight w:val="567" w:hRule="atLeast"/>
        </w:trPr>
        <w:tc>
          <w:tcPr>
            <w:tcW w:w="1389"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rPr>
                <w:rFonts w:cs="微软雅黑" w:hint="eastAsia"/>
                <w:b/>
                <w:bCs/>
                <w:color w:val="000000"/>
                <w:szCs w:val="21"/>
                <w:lang w:bidi="ar"/>
              </w:rPr>
            </w:pPr>
            <w:r>
              <w:rPr>
                <w:rFonts w:cs="微软雅黑" w:hint="eastAsia"/>
                <w:b/>
                <w:bCs/>
                <w:color w:val="000000"/>
                <w:sz w:val="21"/>
                <w:szCs w:val="21"/>
                <w:lang w:bidi="ar"/>
              </w:rPr>
            </w:r>
          </w:p>
          <w:p>
            <w:pPr>
              <w:pStyle w:val="Normal"/>
              <w:rPr>
                <w:rFonts w:cs="微软雅黑" w:hint="eastAsia"/>
                <w:b/>
                <w:bCs/>
                <w:color w:val="000000"/>
                <w:szCs w:val="21"/>
                <w:lang w:bidi="ar"/>
              </w:rPr>
            </w:pPr>
            <w:r>
              <w:rPr>
                <w:rFonts w:cs="微软雅黑" w:hint="eastAsia"/>
                <w:b/>
                <w:bCs/>
                <w:color w:val="000000"/>
                <w:szCs w:val="21"/>
                <w:lang w:bidi="ar"/>
              </w:rPr>
            </w:r>
          </w:p>
          <w:p>
            <w:pPr>
              <w:pStyle w:val="Normal"/>
              <w:ind w:firstLineChars="100" w:startChars="0" w:start="0" w:endChars="0" w:end="0"/>
              <w:rPr>
                <w:rFonts w:cs="微软雅黑"/>
                <w:color w:val="000000"/>
                <w:szCs w:val="21"/>
                <w:lang w:bidi="ar"/>
              </w:rPr>
            </w:pPr>
            <w:r>
              <w:rPr>
                <w:rFonts w:cs="微软雅黑" w:hint="eastAsia"/>
                <w:b/>
                <w:bCs/>
                <w:color w:val="000000"/>
                <w:szCs w:val="21"/>
                <w:lang w:bidi="ar"/>
              </w:rPr>
              <w:t>基础课</w:t>
            </w:r>
          </w:p>
        </w:tc>
        <w:tc>
          <w:tcPr>
            <w:tcW w:w="3660"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cs="微软雅黑"/>
                <w:b w:val="false"/>
                <w:color w:val="000000"/>
                <w:sz w:val="21"/>
                <w:szCs w:val="21"/>
                <w:lang w:bidi="ar"/>
              </w:rPr>
            </w:pPr>
            <w:r>
              <w:rPr>
                <w:rFonts w:ascii="Calibri" w:hAnsi="Calibri" w:cs="Calibri" w:hint="eastAsia"/>
                <w:b w:val="false"/>
                <w:bCs/>
                <w:kern w:val="2"/>
                <w:sz w:val="21"/>
                <w:szCs w:val="21"/>
              </w:rPr>
              <w:t>新时代中国特色社会主义理论与实践</w:t>
            </w:r>
          </w:p>
        </w:tc>
        <w:tc>
          <w:tcPr>
            <w:tcW w:w="3472"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cs="微软雅黑"/>
                <w:b w:val="false"/>
                <w:color w:val="000000"/>
                <w:sz w:val="21"/>
                <w:szCs w:val="21"/>
                <w:lang w:bidi="ar"/>
              </w:rPr>
            </w:pPr>
            <w:r>
              <w:rPr>
                <w:rFonts w:ascii="Calibri" w:hAnsi="Calibri" w:cs="Calibri" w:hint="eastAsia"/>
                <w:b w:val="false"/>
                <w:bCs/>
                <w:kern w:val="2"/>
                <w:sz w:val="21"/>
                <w:szCs w:val="21"/>
              </w:rPr>
              <w:t>自然辩证法概论</w:t>
            </w:r>
          </w:p>
        </w:tc>
      </w:tr>
      <w:tr>
        <w:trPr>
          <w:trHeight w:val="567" w:hRule="atLeast"/>
        </w:trPr>
        <w:tc>
          <w:tcPr>
            <w:tcW w:w="1389" w:type="dxa"/>
            <w:vMerge w:val="continue"/>
            <w:tcBorders>
              <w:top w:val="single" w:sz="4" w:space="0" w:color="000000"/>
              <w:start w:val="single" w:sz="4" w:space="0" w:color="000000"/>
              <w:bottom w:val="single" w:sz="4" w:space="0" w:color="000000"/>
              <w:end w:val="single" w:sz="4" w:space="0" w:color="000000"/>
            </w:tcBorders>
          </w:tcPr>
          <w:p>
            <w:pPr>
              <w:pStyle w:val="Heading6"/>
              <w:widowControl/>
              <w:numPr>
                <w:ilvl w:val="0"/>
                <w:numId w:val="0"/>
              </w:numPr>
              <w:snapToGrid w:val="false"/>
              <w:spacing w:before="225" w:after="75"/>
              <w:ind w:hanging="0" w:start="0"/>
              <w:jc w:val="center"/>
              <w:rPr>
                <w:rFonts w:cs="微软雅黑" w:hint="eastAsia"/>
                <w:b w:val="false"/>
                <w:color w:val="000000"/>
                <w:sz w:val="21"/>
                <w:szCs w:val="21"/>
                <w:lang w:bidi="ar"/>
              </w:rPr>
            </w:pPr>
            <w:r>
              <w:rPr>
                <w:rFonts w:cs="微软雅黑" w:hint="eastAsia"/>
                <w:b w:val="false"/>
                <w:color w:val="000000"/>
                <w:sz w:val="21"/>
                <w:szCs w:val="21"/>
                <w:lang w:bidi="ar"/>
              </w:rPr>
            </w:r>
          </w:p>
        </w:tc>
        <w:tc>
          <w:tcPr>
            <w:tcW w:w="3660"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cs="微软雅黑"/>
                <w:b w:val="false"/>
                <w:color w:val="000000"/>
                <w:sz w:val="21"/>
                <w:szCs w:val="21"/>
                <w:lang w:bidi="ar"/>
              </w:rPr>
            </w:pPr>
            <w:r>
              <w:rPr>
                <w:rFonts w:ascii="Calibri" w:hAnsi="Calibri" w:cs="Calibri" w:hint="eastAsia"/>
                <w:b w:val="false"/>
                <w:bCs/>
                <w:kern w:val="2"/>
                <w:sz w:val="21"/>
                <w:szCs w:val="21"/>
              </w:rPr>
              <w:t>语言基础</w:t>
            </w:r>
          </w:p>
        </w:tc>
        <w:tc>
          <w:tcPr>
            <w:tcW w:w="3472"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cs="微软雅黑"/>
                <w:b w:val="false"/>
                <w:color w:val="000000"/>
                <w:sz w:val="21"/>
                <w:szCs w:val="21"/>
                <w:lang w:bidi="ar"/>
              </w:rPr>
            </w:pPr>
            <w:r>
              <w:rPr>
                <w:rFonts w:cs="微软雅黑" w:hint="eastAsia"/>
                <w:b w:val="false"/>
                <w:color w:val="000000"/>
                <w:sz w:val="21"/>
                <w:szCs w:val="21"/>
                <w:lang w:bidi="ar"/>
              </w:rPr>
              <w:t>学术规范和论文写作</w:t>
            </w:r>
          </w:p>
        </w:tc>
      </w:tr>
      <w:tr>
        <w:trPr>
          <w:trHeight w:val="567" w:hRule="atLeast"/>
        </w:trPr>
        <w:tc>
          <w:tcPr>
            <w:tcW w:w="1389" w:type="dxa"/>
            <w:vMerge w:val="restart"/>
            <w:tcBorders>
              <w:top w:val="single" w:sz="4" w:space="0" w:color="000000"/>
              <w:start w:val="single" w:sz="4" w:space="0" w:color="000000"/>
              <w:bottom w:val="single" w:sz="4" w:space="0" w:color="000000"/>
              <w:end w:val="single" w:sz="4" w:space="0" w:color="000000"/>
            </w:tcBorders>
          </w:tcPr>
          <w:p>
            <w:pPr>
              <w:pStyle w:val="Heading6"/>
              <w:widowControl/>
              <w:snapToGrid w:val="false"/>
              <w:spacing w:before="225" w:after="75"/>
              <w:ind w:hanging="0" w:start="0"/>
              <w:jc w:val="center"/>
              <w:rPr/>
            </w:pPr>
            <w:r>
              <w:rPr>
                <w:rFonts w:cs="微软雅黑"/>
                <w:b w:val="false"/>
                <w:color w:val="000000"/>
                <w:sz w:val="21"/>
                <w:szCs w:val="21"/>
                <w:lang w:bidi="ar"/>
              </w:rPr>
            </w:r>
          </w:p>
          <w:p>
            <w:pPr>
              <w:pStyle w:val="Normal"/>
              <w:rPr>
                <w:rFonts w:cs="微软雅黑"/>
                <w:color w:val="000000"/>
                <w:szCs w:val="21"/>
                <w:lang w:bidi="ar"/>
              </w:rPr>
            </w:pPr>
            <w:r>
              <w:rPr>
                <w:rFonts w:cs="微软雅黑"/>
                <w:color w:val="000000"/>
                <w:szCs w:val="21"/>
                <w:lang w:bidi="ar"/>
              </w:rPr>
            </w:r>
          </w:p>
          <w:p>
            <w:pPr>
              <w:pStyle w:val="Normal"/>
              <w:rPr>
                <w:rFonts w:cs="微软雅黑" w:hint="eastAsia"/>
                <w:color w:val="000000"/>
                <w:szCs w:val="21"/>
                <w:lang w:bidi="ar"/>
              </w:rPr>
            </w:pPr>
            <w:r>
              <w:rPr>
                <w:rFonts w:cs="微软雅黑" w:hint="eastAsia"/>
                <w:color w:val="000000"/>
                <w:szCs w:val="21"/>
                <w:lang w:bidi="ar"/>
              </w:rPr>
              <w:t xml:space="preserve">   </w:t>
            </w:r>
          </w:p>
          <w:p>
            <w:pPr>
              <w:pStyle w:val="Normal"/>
              <w:rPr>
                <w:rFonts w:cs="微软雅黑" w:hint="eastAsia"/>
                <w:color w:val="000000"/>
                <w:szCs w:val="21"/>
                <w:lang w:bidi="ar"/>
              </w:rPr>
            </w:pPr>
            <w:r>
              <w:rPr>
                <w:rFonts w:cs="微软雅黑" w:hint="eastAsia"/>
                <w:color w:val="000000"/>
                <w:szCs w:val="21"/>
                <w:lang w:bidi="ar"/>
              </w:rPr>
            </w:r>
          </w:p>
          <w:p>
            <w:pPr>
              <w:pStyle w:val="Normal"/>
              <w:ind w:firstLineChars="100" w:startChars="0" w:start="0" w:endChars="0" w:end="0"/>
              <w:rPr>
                <w:rFonts w:cs="微软雅黑"/>
                <w:color w:val="000000"/>
                <w:szCs w:val="21"/>
                <w:lang w:bidi="ar"/>
              </w:rPr>
            </w:pPr>
            <w:r>
              <w:rPr>
                <w:rFonts w:cs="微软雅黑" w:hint="eastAsia"/>
                <w:b/>
                <w:bCs/>
                <w:color w:val="000000"/>
                <w:szCs w:val="21"/>
                <w:lang w:bidi="ar"/>
              </w:rPr>
              <w:t>专业课</w:t>
            </w:r>
          </w:p>
        </w:tc>
        <w:tc>
          <w:tcPr>
            <w:tcW w:w="3660" w:type="dxa"/>
            <w:tcBorders>
              <w:top w:val="single" w:sz="4" w:space="0" w:color="000000"/>
              <w:start w:val="single" w:sz="4" w:space="0" w:color="000000"/>
              <w:bottom w:val="single" w:sz="4" w:space="0" w:color="000000"/>
              <w:end w:val="single" w:sz="4" w:space="0" w:color="000000"/>
            </w:tcBorders>
          </w:tcPr>
          <w:p>
            <w:pPr>
              <w:pStyle w:val="Style21"/>
              <w:spacing w:lineRule="atLeast" w:line="450" w:before="0" w:after="0"/>
              <w:jc w:val="center"/>
              <w:rPr>
                <w:rFonts w:cs="微软雅黑"/>
                <w:color w:val="000000"/>
                <w:sz w:val="21"/>
                <w:szCs w:val="21"/>
                <w:lang w:bidi="ar"/>
              </w:rPr>
            </w:pPr>
            <w:r>
              <w:rPr>
                <w:rFonts w:ascii="Calibri" w:hAnsi="Calibri" w:cs="Times New Roman" w:hint="eastAsia"/>
                <w:bCs/>
                <w:color w:val="000000"/>
                <w:kern w:val="2"/>
                <w:sz w:val="21"/>
                <w:szCs w:val="21"/>
              </w:rPr>
              <w:t>运筹学与优化理论</w:t>
            </w:r>
          </w:p>
        </w:tc>
        <w:tc>
          <w:tcPr>
            <w:tcW w:w="3472" w:type="dxa"/>
            <w:tcBorders>
              <w:top w:val="single" w:sz="4" w:space="0" w:color="000000"/>
              <w:start w:val="single" w:sz="4" w:space="0" w:color="000000"/>
              <w:bottom w:val="single" w:sz="4" w:space="0" w:color="000000"/>
              <w:end w:val="single" w:sz="4" w:space="0" w:color="000000"/>
            </w:tcBorders>
          </w:tcPr>
          <w:p>
            <w:pPr>
              <w:pStyle w:val="Style21"/>
              <w:spacing w:lineRule="atLeast" w:line="450" w:before="0" w:after="0"/>
              <w:jc w:val="center"/>
              <w:rPr>
                <w:rFonts w:cs="微软雅黑"/>
                <w:color w:val="000000"/>
                <w:sz w:val="21"/>
                <w:szCs w:val="21"/>
                <w:lang w:bidi="ar"/>
              </w:rPr>
            </w:pPr>
            <w:r>
              <w:rPr>
                <w:rFonts w:ascii="Calibri" w:hAnsi="Calibri" w:cs="Times New Roman" w:hint="eastAsia"/>
                <w:bCs/>
                <w:color w:val="000000"/>
                <w:kern w:val="2"/>
                <w:sz w:val="21"/>
                <w:szCs w:val="21"/>
              </w:rPr>
              <w:t>网络与通信</w:t>
            </w:r>
          </w:p>
        </w:tc>
      </w:tr>
      <w:tr>
        <w:trPr>
          <w:trHeight w:val="567" w:hRule="atLeast"/>
        </w:trPr>
        <w:tc>
          <w:tcPr>
            <w:tcW w:w="1389" w:type="dxa"/>
            <w:vMerge w:val="continue"/>
            <w:tcBorders>
              <w:top w:val="single" w:sz="4" w:space="0" w:color="000000"/>
              <w:start w:val="single" w:sz="4" w:space="0" w:color="000000"/>
              <w:bottom w:val="single" w:sz="4" w:space="0" w:color="000000"/>
              <w:end w:val="single" w:sz="4" w:space="0" w:color="000000"/>
            </w:tcBorders>
          </w:tcPr>
          <w:p>
            <w:pPr>
              <w:pStyle w:val="Heading6"/>
              <w:widowControl/>
              <w:numPr>
                <w:ilvl w:val="0"/>
                <w:numId w:val="0"/>
              </w:numPr>
              <w:snapToGrid w:val="false"/>
              <w:spacing w:before="225" w:after="75"/>
              <w:ind w:hanging="0" w:start="0"/>
              <w:jc w:val="center"/>
              <w:rPr>
                <w:rFonts w:cs="微软雅黑"/>
                <w:b w:val="false"/>
                <w:color w:val="000000"/>
                <w:sz w:val="21"/>
                <w:szCs w:val="21"/>
                <w:lang w:bidi="ar"/>
              </w:rPr>
            </w:pPr>
            <w:r>
              <w:rPr>
                <w:rFonts w:cs="微软雅黑"/>
                <w:b w:val="false"/>
                <w:color w:val="000000"/>
                <w:sz w:val="21"/>
                <w:szCs w:val="21"/>
                <w:lang w:bidi="ar"/>
              </w:rPr>
            </w:r>
          </w:p>
        </w:tc>
        <w:tc>
          <w:tcPr>
            <w:tcW w:w="3660"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cs="微软雅黑"/>
                <w:b w:val="false"/>
                <w:color w:val="000000"/>
                <w:sz w:val="21"/>
                <w:szCs w:val="21"/>
                <w:lang w:bidi="ar"/>
              </w:rPr>
            </w:pPr>
            <w:r>
              <w:rPr>
                <w:rFonts w:ascii="Calibri" w:hAnsi="Calibri" w:cs="Calibri" w:hint="eastAsia"/>
                <w:b w:val="false"/>
                <w:bCs/>
                <w:color w:val="000000"/>
                <w:kern w:val="2"/>
                <w:sz w:val="21"/>
                <w:szCs w:val="21"/>
              </w:rPr>
              <w:t>数据库管理系统原理与实现</w:t>
            </w:r>
          </w:p>
        </w:tc>
        <w:tc>
          <w:tcPr>
            <w:tcW w:w="3472"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cs="微软雅黑"/>
                <w:b w:val="false"/>
                <w:color w:val="000000"/>
                <w:sz w:val="21"/>
                <w:szCs w:val="21"/>
                <w:lang w:bidi="ar"/>
              </w:rPr>
            </w:pPr>
            <w:r>
              <w:rPr>
                <w:rFonts w:ascii="Calibri" w:hAnsi="Calibri" w:cs="Calibri" w:hint="eastAsia"/>
                <w:b w:val="false"/>
                <w:bCs/>
                <w:color w:val="000000"/>
                <w:kern w:val="2"/>
                <w:sz w:val="21"/>
                <w:szCs w:val="21"/>
              </w:rPr>
              <w:t>海量数据挖掘</w:t>
            </w:r>
          </w:p>
        </w:tc>
      </w:tr>
      <w:tr>
        <w:trPr>
          <w:trHeight w:val="567" w:hRule="atLeast"/>
        </w:trPr>
        <w:tc>
          <w:tcPr>
            <w:tcW w:w="1389" w:type="dxa"/>
            <w:vMerge w:val="continue"/>
            <w:tcBorders>
              <w:top w:val="single" w:sz="4" w:space="0" w:color="000000"/>
              <w:start w:val="single" w:sz="4" w:space="0" w:color="000000"/>
              <w:bottom w:val="single" w:sz="4" w:space="0" w:color="000000"/>
              <w:end w:val="single" w:sz="4" w:space="0" w:color="000000"/>
            </w:tcBorders>
          </w:tcPr>
          <w:p>
            <w:pPr>
              <w:pStyle w:val="Heading6"/>
              <w:widowControl/>
              <w:numPr>
                <w:ilvl w:val="0"/>
                <w:numId w:val="0"/>
              </w:numPr>
              <w:snapToGrid w:val="false"/>
              <w:spacing w:before="225" w:after="75"/>
              <w:ind w:hanging="0" w:start="0"/>
              <w:jc w:val="center"/>
              <w:rPr>
                <w:rFonts w:cs="微软雅黑"/>
                <w:b w:val="false"/>
                <w:color w:val="000000"/>
                <w:sz w:val="21"/>
                <w:szCs w:val="21"/>
                <w:lang w:bidi="ar"/>
              </w:rPr>
            </w:pPr>
            <w:r>
              <w:rPr>
                <w:rFonts w:cs="微软雅黑"/>
                <w:b w:val="false"/>
                <w:color w:val="000000"/>
                <w:sz w:val="21"/>
                <w:szCs w:val="21"/>
                <w:lang w:bidi="ar"/>
              </w:rPr>
            </w:r>
          </w:p>
        </w:tc>
        <w:tc>
          <w:tcPr>
            <w:tcW w:w="3660"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cs="微软雅黑"/>
                <w:b w:val="false"/>
                <w:color w:val="000000"/>
                <w:sz w:val="21"/>
                <w:szCs w:val="21"/>
                <w:lang w:bidi="ar"/>
              </w:rPr>
            </w:pPr>
            <w:r>
              <w:rPr>
                <w:rFonts w:ascii="Calibri" w:hAnsi="Calibri" w:cs="Calibri" w:hint="eastAsia"/>
                <w:b w:val="false"/>
                <w:bCs/>
                <w:color w:val="000000"/>
                <w:kern w:val="2"/>
                <w:sz w:val="21"/>
                <w:szCs w:val="21"/>
              </w:rPr>
              <w:t>软件工程与方法</w:t>
            </w:r>
          </w:p>
        </w:tc>
        <w:tc>
          <w:tcPr>
            <w:tcW w:w="3472"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cs="微软雅黑"/>
                <w:b w:val="false"/>
                <w:color w:val="000000"/>
                <w:sz w:val="21"/>
                <w:szCs w:val="21"/>
                <w:lang w:bidi="ar"/>
              </w:rPr>
            </w:pPr>
            <w:r>
              <w:rPr>
                <w:rFonts w:ascii="Calibri" w:hAnsi="Calibri" w:cs="Calibri" w:hint="eastAsia"/>
                <w:b w:val="false"/>
                <w:bCs/>
                <w:color w:val="000000"/>
                <w:kern w:val="2"/>
                <w:sz w:val="21"/>
                <w:szCs w:val="21"/>
              </w:rPr>
              <w:t>社会网络分析与挖掘</w:t>
            </w:r>
          </w:p>
        </w:tc>
      </w:tr>
      <w:tr>
        <w:trPr>
          <w:trHeight w:val="567" w:hRule="atLeast"/>
        </w:trPr>
        <w:tc>
          <w:tcPr>
            <w:tcW w:w="1389" w:type="dxa"/>
            <w:vMerge w:val="continue"/>
            <w:tcBorders>
              <w:top w:val="single" w:sz="4" w:space="0" w:color="000000"/>
              <w:start w:val="single" w:sz="4" w:space="0" w:color="000000"/>
              <w:bottom w:val="single" w:sz="4" w:space="0" w:color="000000"/>
              <w:end w:val="single" w:sz="4" w:space="0" w:color="000000"/>
            </w:tcBorders>
          </w:tcPr>
          <w:p>
            <w:pPr>
              <w:pStyle w:val="Heading6"/>
              <w:widowControl/>
              <w:numPr>
                <w:ilvl w:val="0"/>
                <w:numId w:val="0"/>
              </w:numPr>
              <w:snapToGrid w:val="false"/>
              <w:spacing w:before="225" w:after="75"/>
              <w:ind w:hanging="0" w:start="0"/>
              <w:jc w:val="center"/>
              <w:rPr>
                <w:rFonts w:cs="微软雅黑"/>
                <w:b w:val="false"/>
                <w:color w:val="000000"/>
                <w:sz w:val="21"/>
                <w:szCs w:val="21"/>
                <w:lang w:bidi="ar"/>
              </w:rPr>
            </w:pPr>
            <w:r>
              <w:rPr>
                <w:rFonts w:cs="微软雅黑"/>
                <w:b w:val="false"/>
                <w:color w:val="000000"/>
                <w:sz w:val="21"/>
                <w:szCs w:val="21"/>
                <w:lang w:bidi="ar"/>
              </w:rPr>
            </w:r>
          </w:p>
        </w:tc>
        <w:tc>
          <w:tcPr>
            <w:tcW w:w="3660"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cs="微软雅黑"/>
                <w:b w:val="false"/>
                <w:color w:val="000000"/>
                <w:sz w:val="21"/>
                <w:szCs w:val="21"/>
                <w:lang w:bidi="ar"/>
              </w:rPr>
            </w:pPr>
            <w:r>
              <w:rPr>
                <w:rFonts w:ascii="Calibri" w:hAnsi="Calibri" w:cs="Calibri" w:hint="eastAsia"/>
                <w:b w:val="false"/>
                <w:bCs/>
                <w:color w:val="000000"/>
                <w:kern w:val="2"/>
                <w:sz w:val="21"/>
                <w:szCs w:val="21"/>
              </w:rPr>
              <w:t>文本挖掘方法</w:t>
            </w:r>
          </w:p>
        </w:tc>
        <w:tc>
          <w:tcPr>
            <w:tcW w:w="3472"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cs="微软雅黑"/>
                <w:b w:val="false"/>
                <w:color w:val="000000"/>
                <w:sz w:val="21"/>
                <w:szCs w:val="21"/>
                <w:lang w:bidi="ar"/>
              </w:rPr>
            </w:pPr>
            <w:r>
              <w:rPr>
                <w:rFonts w:ascii="Calibri" w:hAnsi="Calibri" w:cs="Calibri" w:hint="eastAsia"/>
                <w:b w:val="false"/>
                <w:bCs/>
                <w:color w:val="000000"/>
                <w:kern w:val="2"/>
                <w:sz w:val="21"/>
                <w:szCs w:val="21"/>
              </w:rPr>
              <w:t> </w:t>
            </w:r>
            <w:r>
              <w:rPr>
                <w:rFonts w:ascii="Calibri" w:hAnsi="Calibri" w:cs="Calibri" w:hint="eastAsia"/>
                <w:b w:val="false"/>
                <w:bCs/>
                <w:color w:val="000000"/>
                <w:kern w:val="2"/>
                <w:sz w:val="21"/>
                <w:szCs w:val="21"/>
              </w:rPr>
              <w:t>组合数学</w:t>
            </w:r>
          </w:p>
        </w:tc>
      </w:tr>
      <w:tr>
        <w:trPr>
          <w:trHeight w:val="567" w:hRule="atLeast"/>
        </w:trPr>
        <w:tc>
          <w:tcPr>
            <w:tcW w:w="1389" w:type="dxa"/>
            <w:vMerge w:val="continue"/>
            <w:tcBorders>
              <w:top w:val="single" w:sz="4" w:space="0" w:color="000000"/>
              <w:start w:val="single" w:sz="4" w:space="0" w:color="000000"/>
              <w:bottom w:val="single" w:sz="4" w:space="0" w:color="000000"/>
              <w:end w:val="single" w:sz="4" w:space="0" w:color="000000"/>
            </w:tcBorders>
          </w:tcPr>
          <w:p>
            <w:pPr>
              <w:pStyle w:val="Heading6"/>
              <w:widowControl/>
              <w:numPr>
                <w:ilvl w:val="0"/>
                <w:numId w:val="0"/>
              </w:numPr>
              <w:snapToGrid w:val="false"/>
              <w:spacing w:before="225" w:after="75"/>
              <w:ind w:hanging="0" w:start="0"/>
              <w:jc w:val="center"/>
              <w:rPr>
                <w:rFonts w:cs="微软雅黑"/>
                <w:b w:val="false"/>
                <w:color w:val="000000"/>
                <w:sz w:val="21"/>
                <w:szCs w:val="21"/>
                <w:lang w:bidi="ar"/>
              </w:rPr>
            </w:pPr>
            <w:r>
              <w:rPr>
                <w:rFonts w:cs="微软雅黑"/>
                <w:b w:val="false"/>
                <w:color w:val="000000"/>
                <w:sz w:val="21"/>
                <w:szCs w:val="21"/>
                <w:lang w:bidi="ar"/>
              </w:rPr>
            </w:r>
          </w:p>
        </w:tc>
        <w:tc>
          <w:tcPr>
            <w:tcW w:w="3660" w:type="dxa"/>
            <w:tcBorders>
              <w:top w:val="single" w:sz="4" w:space="0" w:color="000000"/>
              <w:start w:val="single" w:sz="4" w:space="0" w:color="000000"/>
              <w:bottom w:val="single" w:sz="4" w:space="0" w:color="000000"/>
              <w:end w:val="single" w:sz="4" w:space="0" w:color="000000"/>
            </w:tcBorders>
          </w:tcPr>
          <w:p>
            <w:pPr>
              <w:pStyle w:val="Style21"/>
              <w:spacing w:lineRule="atLeast" w:line="450" w:before="0" w:after="0"/>
              <w:jc w:val="center"/>
              <w:rPr>
                <w:rFonts w:ascii="Calibri" w:hAnsi="Calibri" w:cs="Times New Roman" w:hint="eastAsia"/>
                <w:bCs/>
                <w:color w:val="000000"/>
                <w:kern w:val="2"/>
                <w:sz w:val="21"/>
                <w:szCs w:val="21"/>
              </w:rPr>
            </w:pPr>
            <w:r>
              <w:rPr>
                <w:rFonts w:ascii="Calibri" w:hAnsi="Calibri" w:cs="Times New Roman" w:hint="eastAsia"/>
                <w:bCs/>
                <w:color w:val="000000"/>
                <w:kern w:val="2"/>
                <w:sz w:val="21"/>
                <w:szCs w:val="21"/>
              </w:rPr>
              <w:t>离散数学</w:t>
            </w:r>
          </w:p>
        </w:tc>
        <w:tc>
          <w:tcPr>
            <w:tcW w:w="3472" w:type="dxa"/>
            <w:tcBorders>
              <w:top w:val="single" w:sz="4" w:space="0" w:color="000000"/>
              <w:start w:val="single" w:sz="4" w:space="0" w:color="000000"/>
              <w:bottom w:val="single" w:sz="4" w:space="0" w:color="000000"/>
              <w:end w:val="single" w:sz="4" w:space="0" w:color="000000"/>
            </w:tcBorders>
          </w:tcPr>
          <w:p>
            <w:pPr>
              <w:pStyle w:val="Style21"/>
              <w:spacing w:lineRule="exact" w:line="500" w:before="100" w:after="0"/>
              <w:ind w:firstLineChars="500" w:startChars="0" w:start="0" w:endChars="0" w:end="0"/>
              <w:rPr>
                <w:rFonts w:ascii="Calibri" w:hAnsi="Calibri" w:cs="Times New Roman" w:hint="eastAsia"/>
                <w:bCs/>
                <w:color w:val="000000"/>
                <w:kern w:val="2"/>
                <w:sz w:val="21"/>
                <w:szCs w:val="21"/>
              </w:rPr>
            </w:pPr>
            <w:r>
              <w:rPr>
                <w:rFonts w:ascii="Calibri" w:hAnsi="Calibri" w:cs="Times New Roman" w:hint="eastAsia"/>
                <w:bCs/>
                <w:color w:val="000000"/>
                <w:kern w:val="2"/>
                <w:sz w:val="21"/>
                <w:szCs w:val="21"/>
              </w:rPr>
              <w:t>高级操作系统</w:t>
            </w:r>
          </w:p>
        </w:tc>
      </w:tr>
    </w:tbl>
    <w:p>
      <w:pPr>
        <w:pStyle w:val="Style21"/>
        <w:spacing w:lineRule="exact" w:line="500" w:before="100" w:after="100"/>
        <w:ind w:firstLineChars="1300" w:startChars="0" w:start="0" w:endChars="0" w:end="0"/>
        <w:contextualSpacing/>
        <w:rPr>
          <w:rFonts w:hint="eastAsia"/>
          <w:sz w:val="21"/>
          <w:szCs w:val="21"/>
        </w:rPr>
      </w:pPr>
      <w:r>
        <w:rPr>
          <w:rFonts w:hint="eastAsia"/>
          <w:sz w:val="21"/>
          <w:szCs w:val="21"/>
        </w:rPr>
        <w:t>注：具体课程参照实际教学</w:t>
      </w:r>
    </w:p>
    <w:p>
      <w:pPr>
        <w:pStyle w:val="Style21"/>
        <w:spacing w:lineRule="exact" w:line="500" w:before="100" w:after="100"/>
        <w:contextualSpacing/>
        <w:rPr>
          <w:b/>
          <w:color w:val="C00000"/>
          <w:sz w:val="21"/>
          <w:szCs w:val="21"/>
        </w:rPr>
      </w:pPr>
      <w:r>
        <w:rPr>
          <w:rFonts w:hint="eastAsia"/>
          <w:b/>
          <w:color w:val="C00000"/>
          <w:sz w:val="21"/>
          <w:szCs w:val="21"/>
        </w:rPr>
      </w:r>
    </w:p>
    <w:p>
      <w:pPr>
        <w:pStyle w:val="Style21"/>
        <w:spacing w:lineRule="exact" w:line="500" w:before="100" w:after="100"/>
        <w:contextualSpacing/>
        <w:rPr>
          <w:b/>
          <w:color w:val="C00000"/>
          <w:sz w:val="21"/>
          <w:szCs w:val="21"/>
        </w:rPr>
      </w:pPr>
      <w:r>
        <w:rPr>
          <w:b/>
          <w:color w:val="C00000"/>
          <w:sz w:val="21"/>
          <w:szCs w:val="21"/>
        </w:rPr>
        <w:t>四、</w:t>
      </w:r>
      <w:r>
        <w:rPr>
          <w:rFonts w:hint="eastAsia"/>
          <w:b/>
          <w:color w:val="C00000"/>
          <w:sz w:val="21"/>
          <w:szCs w:val="21"/>
        </w:rPr>
        <w:t>培养方式</w:t>
      </w:r>
    </w:p>
    <w:p>
      <w:pPr>
        <w:pStyle w:val="Style21"/>
        <w:spacing w:lineRule="atLeast" w:line="450" w:before="0" w:after="0"/>
        <w:ind w:firstLineChars="100" w:startChars="0" w:start="0" w:endChars="0" w:end="0"/>
        <w:rPr>
          <w:rFonts w:hint="eastAsia"/>
          <w:sz w:val="21"/>
          <w:szCs w:val="21"/>
        </w:rPr>
      </w:pPr>
      <w:r>
        <w:rPr>
          <w:rFonts w:hint="eastAsia"/>
          <w:sz w:val="21"/>
          <w:szCs w:val="21"/>
        </w:rPr>
        <w:t>本课程</w:t>
      </w:r>
      <w:r>
        <w:rPr>
          <w:sz w:val="21"/>
          <w:szCs w:val="21"/>
        </w:rPr>
        <w:t>采取课堂面授与线上直播教学相结合的方式，周末上课，遇校内统一考试、寒暑假或节假日顺延。</w:t>
      </w:r>
    </w:p>
    <w:p>
      <w:pPr>
        <w:pStyle w:val="Style21"/>
        <w:spacing w:lineRule="atLeast" w:line="450" w:before="0" w:after="0"/>
        <w:rPr>
          <w:rFonts w:hint="eastAsia"/>
          <w:sz w:val="21"/>
          <w:szCs w:val="21"/>
        </w:rPr>
      </w:pPr>
      <w:r>
        <w:rPr>
          <w:rFonts w:hint="eastAsia"/>
          <w:sz w:val="21"/>
          <w:szCs w:val="21"/>
        </w:rPr>
      </w:r>
    </w:p>
    <w:p>
      <w:pPr>
        <w:pStyle w:val="Style21"/>
        <w:spacing w:lineRule="exact" w:line="500" w:before="100" w:after="100"/>
        <w:contextualSpacing/>
        <w:rPr>
          <w:b/>
          <w:color w:val="C00000"/>
          <w:sz w:val="21"/>
          <w:szCs w:val="21"/>
        </w:rPr>
      </w:pPr>
      <w:r>
        <w:rPr>
          <w:b/>
          <w:color w:val="C00000"/>
          <w:sz w:val="21"/>
          <w:szCs w:val="21"/>
        </w:rPr>
        <w:t>五、学习期限</w:t>
      </w:r>
    </w:p>
    <w:p>
      <w:pPr>
        <w:pStyle w:val="Style21"/>
        <w:spacing w:lineRule="atLeast" w:line="450" w:before="0" w:after="0"/>
        <w:ind w:firstLineChars="100" w:startChars="0" w:start="0" w:endChars="0" w:end="0"/>
        <w:rPr>
          <w:rFonts w:hint="eastAsia"/>
          <w:sz w:val="21"/>
          <w:szCs w:val="21"/>
        </w:rPr>
      </w:pPr>
      <w:r>
        <w:rPr>
          <w:rFonts w:hint="eastAsia"/>
          <w:sz w:val="21"/>
          <w:szCs w:val="21"/>
        </w:rPr>
        <w:t>学习时间</w:t>
      </w:r>
      <w:r>
        <w:rPr>
          <w:rFonts w:hint="eastAsia"/>
          <w:sz w:val="21"/>
          <w:szCs w:val="21"/>
        </w:rPr>
        <w:t>1-1.5</w:t>
      </w:r>
      <w:r>
        <w:rPr>
          <w:rFonts w:hint="eastAsia"/>
          <w:sz w:val="21"/>
          <w:szCs w:val="21"/>
        </w:rPr>
        <w:t>年，从开班之日起算。</w:t>
      </w:r>
    </w:p>
    <w:p>
      <w:pPr>
        <w:pStyle w:val="Style21"/>
        <w:spacing w:lineRule="exact" w:line="500" w:before="100" w:after="100"/>
        <w:contextualSpacing/>
        <w:rPr>
          <w:sz w:val="21"/>
          <w:szCs w:val="21"/>
        </w:rPr>
      </w:pPr>
      <w:r>
        <w:rPr>
          <w:rFonts w:hint="eastAsia"/>
          <w:sz w:val="21"/>
          <w:szCs w:val="21"/>
        </w:rPr>
      </w:r>
    </w:p>
    <w:p>
      <w:pPr>
        <w:pStyle w:val="Style21"/>
        <w:numPr>
          <w:ilvl w:val="0"/>
          <w:numId w:val="3"/>
        </w:numPr>
        <w:spacing w:lineRule="exact" w:line="500" w:before="100" w:after="280"/>
        <w:rPr>
          <w:b/>
          <w:color w:val="C00000"/>
          <w:sz w:val="21"/>
          <w:szCs w:val="21"/>
        </w:rPr>
      </w:pPr>
      <w:r>
        <w:rPr>
          <w:b/>
          <w:color w:val="C00000"/>
          <w:sz w:val="21"/>
          <w:szCs w:val="21"/>
        </w:rPr>
        <w:t>报名条件</w:t>
      </w:r>
    </w:p>
    <w:p>
      <w:pPr>
        <w:pStyle w:val="Style21"/>
        <w:shd w:fill="FFFFFF" w:val="clear"/>
        <w:spacing w:lineRule="exact" w:line="500" w:before="60" w:after="60"/>
        <w:ind w:firstLineChars="200" w:startChars="0" w:start="0" w:endChars="0" w:end="0"/>
        <w:jc w:val="both"/>
        <w:textAlignment w:val="baseline"/>
        <w:rPr>
          <w:rFonts w:cs="Arial"/>
          <w:color w:val="333333"/>
          <w:sz w:val="21"/>
          <w:szCs w:val="21"/>
        </w:rPr>
      </w:pPr>
      <w:r>
        <w:rPr>
          <w:rFonts w:cs="Arial"/>
          <w:color w:val="333333"/>
          <w:sz w:val="21"/>
          <w:szCs w:val="21"/>
        </w:rPr>
        <w:t>1.</w:t>
      </w:r>
      <w:r>
        <w:rPr>
          <w:rFonts w:cs="Arial"/>
          <w:color w:val="333333"/>
          <w:sz w:val="21"/>
          <w:szCs w:val="21"/>
        </w:rPr>
        <w:t>拥护《中华人民共和国宪法》，遵纪守法，品行端正，身体健康，并能坚持在职学习者。；</w:t>
      </w:r>
    </w:p>
    <w:p>
      <w:pPr>
        <w:pStyle w:val="Style21"/>
        <w:shd w:fill="FFFFFF" w:val="clear"/>
        <w:spacing w:lineRule="exact" w:line="500" w:before="60" w:after="60"/>
        <w:ind w:firstLineChars="200" w:startChars="0" w:start="0" w:endChars="0" w:end="0"/>
        <w:jc w:val="both"/>
        <w:textAlignment w:val="baseline"/>
        <w:rPr>
          <w:rFonts w:cs="Arial"/>
          <w:color w:val="333333"/>
          <w:sz w:val="21"/>
          <w:szCs w:val="21"/>
        </w:rPr>
      </w:pPr>
      <w:r>
        <w:rPr>
          <w:rFonts w:cs="Arial"/>
          <w:color w:val="333333"/>
          <w:sz w:val="21"/>
          <w:szCs w:val="21"/>
        </w:rPr>
        <w:t>2.</w:t>
      </w:r>
      <w:r>
        <w:rPr>
          <w:rFonts w:cs="Arial"/>
          <w:color w:val="333333"/>
          <w:sz w:val="21"/>
          <w:szCs w:val="21"/>
        </w:rPr>
        <w:t>大学本科毕业、并获得学士学位满三年，已获得硕士及以上学位者无年限要求；</w:t>
      </w:r>
    </w:p>
    <w:p>
      <w:pPr>
        <w:pStyle w:val="Style21"/>
        <w:shd w:fill="FFFFFF" w:val="clear"/>
        <w:spacing w:lineRule="exact" w:line="500" w:before="60" w:after="60"/>
        <w:ind w:firstLineChars="200" w:startChars="0" w:start="0" w:endChars="0" w:end="0"/>
        <w:jc w:val="both"/>
        <w:textAlignment w:val="baseline"/>
        <w:rPr>
          <w:rFonts w:cs="Arial"/>
          <w:color w:val="333333"/>
          <w:sz w:val="21"/>
          <w:szCs w:val="21"/>
        </w:rPr>
      </w:pPr>
      <w:r>
        <w:rPr>
          <w:rFonts w:cs="Arial"/>
          <w:color w:val="333333"/>
          <w:sz w:val="21"/>
          <w:szCs w:val="21"/>
        </w:rPr>
        <w:t>3.</w:t>
      </w:r>
      <w:r>
        <w:rPr>
          <w:rFonts w:cs="Arial"/>
          <w:color w:val="333333"/>
          <w:sz w:val="21"/>
          <w:szCs w:val="21"/>
        </w:rPr>
        <w:t>大学专科及以上学历，旨在提高本人业务素质和综合能力，具有一定本专业工作基础及学习能力，经学院审核认可也可参加在职课程培训班的学习。</w:t>
      </w:r>
    </w:p>
    <w:p>
      <w:pPr>
        <w:pStyle w:val="Style21"/>
        <w:spacing w:lineRule="exact" w:line="500" w:before="100" w:after="100"/>
        <w:contextualSpacing/>
        <w:rPr>
          <w:rFonts w:hint="eastAsia"/>
          <w:sz w:val="21"/>
          <w:szCs w:val="21"/>
        </w:rPr>
      </w:pPr>
      <w:r>
        <w:rPr>
          <w:rFonts w:cs="Arial" w:hint="eastAsia"/>
          <w:color w:val="333333"/>
          <w:sz w:val="21"/>
          <w:szCs w:val="21"/>
        </w:rPr>
      </w:r>
    </w:p>
    <w:p>
      <w:pPr>
        <w:pStyle w:val="Style21"/>
        <w:numPr>
          <w:ilvl w:val="0"/>
          <w:numId w:val="2"/>
        </w:numPr>
        <w:spacing w:lineRule="exact" w:line="500" w:before="100" w:after="280"/>
        <w:rPr>
          <w:rFonts w:hint="eastAsia"/>
          <w:b/>
          <w:color w:val="C00000"/>
          <w:sz w:val="21"/>
          <w:szCs w:val="21"/>
        </w:rPr>
      </w:pPr>
      <w:r>
        <w:rPr>
          <w:rFonts w:hint="eastAsia"/>
          <w:b/>
          <w:color w:val="C00000"/>
          <w:sz w:val="21"/>
          <w:szCs w:val="21"/>
        </w:rPr>
        <w:t>报名材料</w:t>
      </w:r>
    </w:p>
    <w:p>
      <w:pPr>
        <w:pStyle w:val="Style21"/>
        <w:spacing w:lineRule="exact" w:line="500" w:before="100" w:after="100"/>
        <w:ind w:firstLineChars="200" w:startChars="0" w:start="0" w:endChars="0" w:end="0"/>
        <w:contextualSpacing/>
        <w:rPr>
          <w:rFonts w:hint="eastAsia"/>
          <w:sz w:val="21"/>
          <w:szCs w:val="21"/>
        </w:rPr>
      </w:pPr>
      <w:r>
        <w:rPr>
          <w:rFonts w:hint="eastAsia"/>
          <w:sz w:val="21"/>
          <w:szCs w:val="21"/>
        </w:rPr>
        <w:t>1</w:t>
      </w:r>
      <w:r>
        <w:rPr>
          <w:rFonts w:hint="eastAsia"/>
          <w:sz w:val="21"/>
          <w:szCs w:val="21"/>
        </w:rPr>
        <w:t>、核验本人身份证、最高学历证书和学位证书，学位认证报告；</w:t>
      </w:r>
    </w:p>
    <w:p>
      <w:pPr>
        <w:pStyle w:val="Style21"/>
        <w:spacing w:lineRule="exact" w:line="500" w:before="100" w:after="100"/>
        <w:ind w:firstLineChars="200" w:startChars="0" w:start="0" w:endChars="0" w:end="0"/>
        <w:contextualSpacing/>
        <w:rPr>
          <w:rFonts w:hint="eastAsia"/>
          <w:sz w:val="21"/>
          <w:szCs w:val="21"/>
        </w:rPr>
      </w:pPr>
      <w:r>
        <w:rPr>
          <w:rFonts w:hint="eastAsia"/>
          <w:sz w:val="21"/>
          <w:szCs w:val="21"/>
        </w:rPr>
        <w:t>2</w:t>
      </w:r>
      <w:r>
        <w:rPr>
          <w:rFonts w:hint="eastAsia"/>
          <w:sz w:val="21"/>
          <w:szCs w:val="21"/>
        </w:rPr>
        <w:t>、填写课程培训班报名登记表。</w:t>
      </w:r>
    </w:p>
    <w:p>
      <w:pPr>
        <w:pStyle w:val="Style21"/>
        <w:spacing w:lineRule="exact" w:line="500" w:before="100" w:after="100"/>
        <w:contextualSpacing/>
        <w:rPr>
          <w:rFonts w:hint="eastAsia"/>
          <w:sz w:val="21"/>
          <w:szCs w:val="21"/>
        </w:rPr>
      </w:pPr>
      <w:r>
        <w:rPr>
          <w:rFonts w:hint="eastAsia"/>
          <w:sz w:val="21"/>
          <w:szCs w:val="21"/>
        </w:rPr>
      </w:r>
    </w:p>
    <w:p>
      <w:pPr>
        <w:pStyle w:val="Style21"/>
        <w:spacing w:lineRule="exact" w:line="500" w:before="100" w:after="100"/>
        <w:contextualSpacing/>
        <w:rPr>
          <w:b/>
          <w:color w:val="C00000"/>
          <w:sz w:val="21"/>
          <w:szCs w:val="21"/>
        </w:rPr>
      </w:pPr>
      <w:r>
        <w:rPr>
          <w:b/>
          <w:color w:val="C00000"/>
          <w:sz w:val="21"/>
          <w:szCs w:val="21"/>
        </w:rPr>
        <w:t>八、</w:t>
      </w:r>
      <w:r>
        <w:rPr>
          <w:rFonts w:hint="eastAsia"/>
          <w:b/>
          <w:color w:val="C00000"/>
          <w:sz w:val="21"/>
          <w:szCs w:val="21"/>
        </w:rPr>
        <w:t>收费标准</w:t>
      </w:r>
    </w:p>
    <w:p>
      <w:pPr>
        <w:pStyle w:val="Style21"/>
        <w:spacing w:lineRule="exact" w:line="500" w:before="100" w:after="100"/>
        <w:ind w:firstLineChars="200" w:startChars="0" w:start="0" w:endChars="0" w:end="0"/>
        <w:contextualSpacing/>
        <w:rPr>
          <w:rFonts w:hint="eastAsia"/>
          <w:sz w:val="21"/>
          <w:szCs w:val="21"/>
        </w:rPr>
      </w:pPr>
      <w:r>
        <w:rPr>
          <w:rFonts w:hint="eastAsia"/>
          <w:sz w:val="21"/>
          <w:szCs w:val="21"/>
        </w:rPr>
        <w:t>培训费每人</w:t>
      </w:r>
      <w:r>
        <w:rPr>
          <w:rFonts w:hint="eastAsia"/>
          <w:sz w:val="21"/>
          <w:szCs w:val="21"/>
        </w:rPr>
        <w:t>38000</w:t>
      </w:r>
      <w:r>
        <w:rPr>
          <w:rFonts w:hint="eastAsia"/>
          <w:sz w:val="21"/>
          <w:szCs w:val="21"/>
        </w:rPr>
        <w:t>元，书费、资料费自理，费用一次性交清。</w:t>
      </w:r>
    </w:p>
    <w:p>
      <w:pPr>
        <w:pStyle w:val="Style21"/>
        <w:spacing w:lineRule="exact" w:line="500" w:before="100" w:after="100"/>
        <w:contextualSpacing/>
        <w:rPr>
          <w:sz w:val="21"/>
          <w:szCs w:val="21"/>
        </w:rPr>
      </w:pPr>
      <w:r>
        <w:rPr>
          <w:sz w:val="21"/>
          <w:szCs w:val="21"/>
        </w:rPr>
        <w:t>　</w:t>
      </w:r>
    </w:p>
    <w:p>
      <w:pPr>
        <w:pStyle w:val="Style21"/>
        <w:spacing w:lineRule="exact" w:line="500" w:before="100" w:after="100"/>
        <w:contextualSpacing/>
        <w:rPr>
          <w:b/>
          <w:color w:val="C00000"/>
          <w:sz w:val="21"/>
          <w:szCs w:val="21"/>
        </w:rPr>
      </w:pPr>
      <w:r>
        <w:rPr>
          <w:b/>
          <w:color w:val="C00000"/>
          <w:sz w:val="21"/>
          <w:szCs w:val="21"/>
        </w:rPr>
        <w:t>九、获取证书</w:t>
      </w:r>
    </w:p>
    <w:p>
      <w:pPr>
        <w:pStyle w:val="Style21"/>
        <w:spacing w:lineRule="atLeast" w:line="450" w:before="0" w:after="0"/>
        <w:ind w:firstLine="420" w:end="0"/>
        <w:jc w:val="both"/>
        <w:rPr>
          <w:rFonts w:hint="eastAsia"/>
          <w:sz w:val="21"/>
          <w:szCs w:val="21"/>
        </w:rPr>
      </w:pPr>
      <w:r>
        <w:rPr>
          <w:sz w:val="21"/>
          <w:szCs w:val="21"/>
        </w:rPr>
        <w:t>学员在规定期限内完成在职课程培训班的学习项目，通过规定的课程考试，</w:t>
      </w:r>
      <w:r>
        <w:rPr>
          <w:rFonts w:hint="eastAsia"/>
          <w:sz w:val="21"/>
          <w:szCs w:val="21"/>
        </w:rPr>
        <w:t>颁发中国人民大学教育培训结业证书。</w:t>
      </w:r>
    </w:p>
    <w:p>
      <w:pPr>
        <w:pStyle w:val="Style21"/>
        <w:spacing w:lineRule="exact" w:line="500" w:before="100" w:after="100"/>
        <w:ind w:firstLine="420" w:end="0"/>
        <w:contextualSpacing/>
        <w:rPr>
          <w:rFonts w:hint="eastAsia"/>
          <w:sz w:val="21"/>
          <w:szCs w:val="21"/>
        </w:rPr>
      </w:pPr>
      <w:r>
        <w:rPr>
          <w:rFonts w:hint="eastAsia"/>
          <w:sz w:val="21"/>
          <w:szCs w:val="21"/>
        </w:rPr>
      </w:r>
    </w:p>
    <w:p>
      <w:pPr>
        <w:pStyle w:val="Style21"/>
        <w:spacing w:lineRule="exact" w:line="500" w:before="100" w:after="100"/>
        <w:contextualSpacing/>
        <w:rPr>
          <w:sz w:val="21"/>
          <w:szCs w:val="21"/>
        </w:rPr>
      </w:pPr>
      <w:r>
        <w:rPr>
          <w:sz w:val="21"/>
          <w:szCs w:val="21"/>
        </w:rPr>
        <w:t>　</w:t>
      </w:r>
    </w:p>
    <w:p>
      <w:pPr>
        <w:pStyle w:val="Style21"/>
        <w:spacing w:lineRule="exact" w:line="500" w:before="100" w:after="100"/>
        <w:ind w:firstLine="420" w:end="0"/>
        <w:contextualSpacing/>
        <w:rPr>
          <w:rFonts w:hint="eastAsia"/>
          <w:sz w:val="21"/>
          <w:szCs w:val="21"/>
        </w:rPr>
      </w:pPr>
      <w:r>
        <w:rPr>
          <w:rFonts w:hint="eastAsia"/>
          <w:sz w:val="21"/>
          <w:szCs w:val="21"/>
        </w:rPr>
      </w:r>
    </w:p>
    <w:sectPr>
      <w:headerReference w:type="default" r:id="rId3"/>
      <w:type w:val="nextPage"/>
      <w:pgSz w:w="11906" w:h="16838"/>
      <w:pgMar w:left="1800" w:right="1800" w:gutter="0" w:header="851" w:top="1440" w:footer="0" w:bottom="144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86"/>
    <w:family w:val="roman"/>
    <w:pitch w:val="variable"/>
  </w:font>
  <w:font w:name="宋体">
    <w:altName w:val="SimSun"/>
    <w:charset w:val="86"/>
    <w:family w:val="auto"/>
    <w:pitch w:val="variable"/>
  </w:font>
  <w:font w:name="Liberation Sans">
    <w:altName w:val="Arial"/>
    <w:charset w:val="86"/>
    <w:family w:val="swiss"/>
    <w:pitch w:val="variable"/>
  </w:font>
  <w:font w:name="Calibri">
    <w:charset w:val="00" w:characterSet="windows-1252"/>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lang w:val="zh-CN" w:eastAsia="zh-CN"/>
      </w:rPr>
      <w:drawing>
        <wp:anchor distT="0" distB="0" distL="114935" distR="114935" simplePos="0" relativeHeight="5" behindDoc="1" locked="0" layoutInCell="0" allowOverlap="1">
          <wp:simplePos x="0" y="0"/>
          <wp:positionH relativeFrom="margin">
            <wp:align>center</wp:align>
          </wp:positionH>
          <wp:positionV relativeFrom="margin">
            <wp:align>center</wp:align>
          </wp:positionV>
          <wp:extent cx="4472305" cy="4507865"/>
          <wp:effectExtent l="0" t="0" r="0" b="0"/>
          <wp:wrapNone/>
          <wp:docPr id="3" name="WordPictureWatermark1058209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58209720"/>
                  <pic:cNvPicPr>
                    <a:picLocks noChangeAspect="1" noChangeArrowheads="1"/>
                  </pic:cNvPicPr>
                </pic:nvPicPr>
                <pic:blipFill>
                  <a:blip r:embed="rId1">
                    <a:lum bright="70000" contrast="-70000"/>
                  </a:blip>
                  <a:srcRect l="-6" t="-6" r="-6" b="-6"/>
                  <a:stretch>
                    <a:fillRect/>
                  </a:stretch>
                </pic:blipFill>
                <pic:spPr bwMode="auto">
                  <a:xfrm>
                    <a:off x="0" y="0"/>
                    <a:ext cx="4472305" cy="4507865"/>
                  </a:xfrm>
                  <a:prstGeom prst="rect">
                    <a:avLst/>
                  </a:prstGeom>
                  <a:noFill/>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pStyle w:val="Heading6"/>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7"/>
      <w:numFmt w:val="chineseCountingThousand"/>
      <w:suff w:val="nothing"/>
      <w:lvlText w:val="%1、"/>
      <w:lvlJc w:val="start"/>
      <w:pPr>
        <w:tabs>
          <w:tab w:val="num" w:pos="0"/>
        </w:tabs>
        <w:ind w:start="0" w:hanging="0"/>
      </w:pPr>
      <w:rPr>
        <w:rFonts w:hint="eastAsia"/>
      </w:rPr>
    </w:lvl>
  </w:abstractNum>
  <w:abstractNum w:abstractNumId="3">
    <w:lvl w:ilvl="0">
      <w:start w:val="6"/>
      <w:numFmt w:val="chineseCountingThousand"/>
      <w:suff w:val="nothing"/>
      <w:lvlText w:val="%1、"/>
      <w:lvlJc w:val="start"/>
      <w:pPr>
        <w:tabs>
          <w:tab w:val="num" w:pos="0"/>
        </w:tabs>
        <w:ind w:start="0" w:hanging="0"/>
      </w:pPr>
      <w:rPr>
        <w:rFonts w:hint="eastAsia"/>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420"/>
  <w:autoHyphenation w:val="true"/>
  <w:hyphenationZone w:val="0"/>
  <w:compat>
    <w:doNotExpandShiftReturn/>
    <w:adjustLineHeightInTable/>
    <w:compatSetting w:name="compatibilityMode" w:uri="http://schemas.microsoft.com/office/word" w:val="11"/>
  </w:compat>
  <w:docVars>
    <w:docVar w:name="commondata" w:val="eyJoZGlkIjoiNGQ5ODQ5N2Q1NmI0ZDAwYTJiMTcyMmU3ZjhhMWE4NmEifQ=="/>
  </w:docVars>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新宋体" w:cs="Lucida Sans"/>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2"/>
      <w:lang w:bidi="ar-SA" w:val="en-US" w:eastAsia="zh-CN"/>
    </w:rPr>
  </w:style>
  <w:style w:type="paragraph" w:styleId="Heading6">
    <w:name w:val="heading 6"/>
    <w:basedOn w:val="Normal"/>
    <w:next w:val="Normal"/>
    <w:qFormat/>
    <w:pPr>
      <w:numPr>
        <w:ilvl w:val="5"/>
        <w:numId w:val="1"/>
      </w:numPr>
      <w:spacing w:before="100" w:after="100"/>
      <w:jc w:val="start"/>
      <w:outlineLvl w:val="5"/>
    </w:pPr>
    <w:rPr>
      <w:rFonts w:ascii="宋体;SimSun" w:hAnsi="宋体;SimSun" w:cs="宋体;SimSun"/>
      <w:b/>
      <w:kern w:val="0"/>
      <w:sz w:val="15"/>
      <w:szCs w:val="15"/>
    </w:rPr>
  </w:style>
  <w:style w:type="character" w:styleId="WW8Num1z0">
    <w:name w:val="WW8Num1z0"/>
    <w:qFormat/>
    <w:rPr>
      <w:rFonts w:hint="eastAsia"/>
    </w:rPr>
  </w:style>
  <w:style w:type="character" w:styleId="WW8Num2z0">
    <w:name w:val="WW8Num2z0"/>
    <w:qFormat/>
    <w:rPr>
      <w:rFonts w:hint="eastAsia"/>
    </w:rPr>
  </w:style>
  <w:style w:type="character" w:styleId="WW8Num3z0">
    <w:name w:val="WW8Num3z0"/>
    <w:qFormat/>
    <w:rPr>
      <w:rFonts w:hint="eastAsia"/>
    </w:rPr>
  </w:style>
  <w:style w:type="character" w:styleId="Style13">
    <w:name w:val="默认段落字体"/>
    <w:qFormat/>
    <w:rPr/>
  </w:style>
  <w:style w:type="character" w:styleId="6">
    <w:name w:val="标题 6 字符"/>
    <w:qFormat/>
    <w:rPr>
      <w:rFonts w:ascii="宋体;SimSun" w:hAnsi="宋体;SimSun" w:cs="宋体;SimSun"/>
      <w:b/>
      <w:sz w:val="15"/>
      <w:szCs w:val="15"/>
    </w:rPr>
  </w:style>
  <w:style w:type="character" w:styleId="Style14">
    <w:name w:val="批注框文本 字符"/>
    <w:qFormat/>
    <w:rPr>
      <w:sz w:val="18"/>
      <w:szCs w:val="18"/>
    </w:rPr>
  </w:style>
  <w:style w:type="character" w:styleId="Style15">
    <w:name w:val="页脚 字符"/>
    <w:qFormat/>
    <w:rPr>
      <w:sz w:val="18"/>
      <w:szCs w:val="18"/>
    </w:rPr>
  </w:style>
  <w:style w:type="character" w:styleId="Style16">
    <w:name w:val="页眉 字符"/>
    <w:qFormat/>
    <w:rPr>
      <w:sz w:val="18"/>
      <w:szCs w:val="18"/>
    </w:rPr>
  </w:style>
  <w:style w:type="character" w:styleId="Hyperlink">
    <w:name w:val="Hyperlink"/>
    <w:rPr>
      <w:color w:val="0563C1"/>
      <w:u w:val="single"/>
    </w:rPr>
  </w:style>
  <w:style w:type="paragraph" w:styleId="Style17">
    <w:name w:val="标题样式"/>
    <w:basedOn w:val="Normal"/>
    <w:next w:val="BodyText"/>
    <w:qFormat/>
    <w:pPr>
      <w:keepNext w:val="true"/>
      <w:spacing w:before="240" w:after="120"/>
    </w:pPr>
    <w:rPr>
      <w:rFonts w:ascii="Liberation Sans" w:hAnsi="Liberation Sans" w:eastAsia="Noto Sans SC"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Style18">
    <w:name w:val="索引"/>
    <w:basedOn w:val="Normal"/>
    <w:qFormat/>
    <w:pPr>
      <w:suppressLineNumbers/>
    </w:pPr>
    <w:rPr>
      <w:rFonts w:cs="Lucida Sans"/>
    </w:rPr>
  </w:style>
  <w:style w:type="paragraph" w:styleId="Style19">
    <w:name w:val="批注框文本"/>
    <w:basedOn w:val="Normal"/>
    <w:qFormat/>
    <w:pPr/>
    <w:rPr>
      <w:kern w:val="0"/>
      <w:sz w:val="18"/>
      <w:szCs w:val="18"/>
    </w:rPr>
  </w:style>
  <w:style w:type="paragraph" w:styleId="Style20">
    <w:name w:val="页眉与页脚"/>
    <w:basedOn w:val="Normal"/>
    <w:qFormat/>
    <w:pPr>
      <w:suppressLineNumbers/>
      <w:tabs>
        <w:tab w:val="clear" w:pos="420"/>
        <w:tab w:val="center" w:pos="4819" w:leader="none"/>
        <w:tab w:val="right" w:pos="9638" w:leader="none"/>
      </w:tabs>
    </w:pPr>
    <w:rPr/>
  </w:style>
  <w:style w:type="paragraph" w:styleId="Footer">
    <w:name w:val="footer"/>
    <w:basedOn w:val="Normal"/>
    <w:pPr>
      <w:tabs>
        <w:tab w:val="clear" w:pos="420"/>
        <w:tab w:val="center" w:pos="4153" w:leader="none"/>
        <w:tab w:val="right" w:pos="8306" w:leader="none"/>
      </w:tabs>
      <w:snapToGrid w:val="false"/>
      <w:jc w:val="start"/>
    </w:pPr>
    <w:rPr>
      <w:kern w:val="0"/>
      <w:sz w:val="18"/>
      <w:szCs w:val="18"/>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kern w:val="0"/>
      <w:sz w:val="18"/>
      <w:szCs w:val="18"/>
    </w:rPr>
  </w:style>
  <w:style w:type="paragraph" w:styleId="Style21">
    <w:name w:val="普通(网站)"/>
    <w:basedOn w:val="Normal"/>
    <w:qFormat/>
    <w:pPr>
      <w:widowControl/>
      <w:spacing w:before="100" w:after="100"/>
      <w:jc w:val="start"/>
    </w:pPr>
    <w:rPr>
      <w:rFonts w:ascii="宋体;SimSun" w:hAnsi="宋体;SimSun" w:eastAsia="宋体;SimSun" w:cs="宋体;SimSun"/>
      <w:kern w:val="0"/>
      <w:sz w:val="24"/>
      <w:szCs w:val="24"/>
    </w:rPr>
  </w:style>
  <w:style w:type="paragraph" w:styleId="Style22">
    <w:name w:val="表格内容"/>
    <w:basedOn w:val="Normal"/>
    <w:qFormat/>
    <w:pPr>
      <w:widowControl w:val="false"/>
      <w:suppressLineNumbers/>
    </w:pPr>
    <w:rPr/>
  </w:style>
  <w:style w:type="paragraph" w:styleId="Style23">
    <w:name w:val="表格标题"/>
    <w:basedOn w:val="Style22"/>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10</TotalTime>
  <Application>LibreOffice/26.2.5.2$Windows_X86_64 LibreOffice_project/cd7284b4cbbfeb507e630c1aac019f4157393acb</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2021-01-23T14:22:00Z</dcterms:created>
  <dc:creator>Administrator</dc:creator>
  <dc:description/>
  <cp:keywords/>
  <dc:language>zh-CN</dc:language>
  <cp:lastModifiedBy>方源 杨</cp:lastModifiedBy>
  <dcterms:modified xsi:type="dcterms:W3CDTF">2026-12-27T22:14:00Z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817AFE1692F4471F871E0B06774E7E19_13</vt:lpwstr>
  </property>
  <property fmtid="{D5CDD505-2E9C-101B-9397-08002B2CF9AE}" pid="3" name="KSOProductBuildVer">
    <vt:lpwstr>2052-12.1.0.16120</vt:lpwstr>
  </property>
</Properties>
</file>