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contextualSpacing/>
        <w:jc w:val="center"/>
        <w:rPr>
          <w:b/>
          <w:bCs/>
          <w:sz w:val="30"/>
          <w:szCs w:val="30"/>
        </w:rPr>
      </w:pPr>
      <w:r>
        <w:rPr>
          <w:b/>
          <w:bCs/>
          <w:sz w:val="30"/>
          <w:szCs w:val="30"/>
        </w:rPr>
        <w:t>202</w:t>
      </w:r>
      <w:r>
        <w:rPr>
          <w:rFonts w:hint="eastAsia"/>
          <w:b/>
          <w:bCs/>
          <w:sz w:val="30"/>
          <w:szCs w:val="30"/>
        </w:rPr>
        <w:t>5</w:t>
      </w:r>
      <w:r>
        <w:rPr>
          <w:b/>
          <w:bCs/>
          <w:sz w:val="30"/>
          <w:szCs w:val="30"/>
        </w:rPr>
        <w:t>年中国人民大学</w:t>
      </w:r>
      <w:r>
        <w:rPr>
          <w:rFonts w:hint="eastAsia"/>
          <w:b/>
          <w:bCs/>
          <w:sz w:val="30"/>
          <w:szCs w:val="30"/>
        </w:rPr>
        <w:t>生态</w:t>
      </w:r>
      <w:r>
        <w:rPr>
          <w:b/>
          <w:bCs/>
          <w:sz w:val="30"/>
          <w:szCs w:val="30"/>
        </w:rPr>
        <w:t>环境学院人口、资源与环境经济学专业在职课程培训班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经济</w:t>
      </w:r>
      <w:r>
        <w:rPr>
          <w:color w:val="C00000"/>
          <w:sz w:val="21"/>
          <w:szCs w:val="21"/>
        </w:rPr>
        <w:t>]</w:t>
      </w:r>
      <w:r>
        <w:rPr>
          <w:sz w:val="21"/>
          <w:szCs w:val="21"/>
        </w:rPr>
        <w:t xml:space="preserve">      </w:t>
      </w:r>
      <w:r>
        <w:rPr>
          <w:sz w:val="21"/>
          <w:szCs w:val="21"/>
        </w:rPr>
        <w:t>培训费：</w:t>
      </w:r>
      <w:r>
        <w:rPr>
          <w:color w:val="C00000"/>
          <w:sz w:val="21"/>
          <w:szCs w:val="21"/>
        </w:rPr>
        <w:t>3</w:t>
      </w:r>
      <w:r>
        <w:rPr>
          <w:rFonts w:hint="eastAsia"/>
          <w:color w:val="C00000"/>
          <w:sz w:val="21"/>
          <w:szCs w:val="21"/>
        </w:rPr>
        <w:t>8</w:t>
      </w:r>
      <w:r>
        <w:rPr>
          <w:color w:val="C00000"/>
          <w:sz w:val="21"/>
          <w:szCs w:val="21"/>
        </w:rPr>
        <w:t>000.00</w:t>
      </w:r>
      <w:r>
        <w:rPr>
          <w:color w:val="C00000"/>
          <w:sz w:val="21"/>
          <w:szCs w:val="21"/>
        </w:rPr>
        <w:t xml:space="preserve">元 </w:t>
      </w:r>
      <w:r>
        <w:rPr>
          <w:sz w:val="21"/>
          <w:szCs w:val="21"/>
        </w:rPr>
        <w:t xml:space="preserve">    主办单位：</w:t>
      </w:r>
      <w:r>
        <w:rPr>
          <w:rFonts w:hint="eastAsia"/>
          <w:color w:val="C00000"/>
          <w:sz w:val="21"/>
          <w:szCs w:val="21"/>
        </w:rPr>
        <w:t>生态环境</w:t>
      </w:r>
      <w:r>
        <w:rPr>
          <w:color w:val="C00000"/>
          <w:sz w:val="21"/>
          <w:szCs w:val="21"/>
        </w:rPr>
        <w:t>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ind w:firstLineChars="200" w:startChars="0" w:start="0" w:endChars="0" w:end="0"/>
        <w:contextualSpacing/>
        <w:rPr>
          <w:sz w:val="21"/>
          <w:szCs w:val="21"/>
        </w:rPr>
      </w:pPr>
      <w:r>
        <w:rPr>
          <w:sz w:val="21"/>
          <w:szCs w:val="21"/>
        </w:rPr>
        <w:t>中国人民大学生态环境学院命名组建于</w:t>
      </w:r>
      <w:r>
        <w:rPr>
          <w:sz w:val="21"/>
          <w:szCs w:val="21"/>
        </w:rPr>
        <w:t>2026</w:t>
      </w:r>
      <w:r>
        <w:rPr>
          <w:sz w:val="21"/>
          <w:szCs w:val="21"/>
        </w:rPr>
        <w:t>年，前身是</w:t>
      </w:r>
      <w:r>
        <w:rPr>
          <w:sz w:val="21"/>
          <w:szCs w:val="21"/>
        </w:rPr>
        <w:t>2001</w:t>
      </w:r>
      <w:r>
        <w:rPr>
          <w:sz w:val="21"/>
          <w:szCs w:val="21"/>
        </w:rPr>
        <w:t>年</w:t>
      </w:r>
      <w:r>
        <w:rPr>
          <w:sz w:val="21"/>
          <w:szCs w:val="21"/>
        </w:rPr>
        <w:t>11</w:t>
      </w:r>
      <w:r>
        <w:rPr>
          <w:sz w:val="21"/>
          <w:szCs w:val="21"/>
        </w:rPr>
        <w:t>月成立的中国人民大学环境学院。生态环境学院是在学校深入贯彻落实习近平总书记在我校考察调研时的重要讲话精神、系统推进环境学院学科综合改革战略部署的指导下，在整合原环境学院相关学科的基础上，形成的涵盖资源与环境经济学、可持续发展管理学和生态学的综合型生态环境教育与科研机构，是我国环境经济学专业重要的人才培养基地，也是一所强调多学科交叉融合、体现人大社科优势的生态环境学院。</w:t>
      </w:r>
    </w:p>
    <w:p>
      <w:pPr>
        <w:pStyle w:val="Style21"/>
        <w:spacing w:lineRule="exact" w:line="500" w:before="100" w:after="100"/>
        <w:ind w:firstLineChars="200" w:startChars="0" w:start="0" w:endChars="0" w:end="0"/>
        <w:contextualSpacing/>
        <w:rPr>
          <w:sz w:val="21"/>
          <w:szCs w:val="21"/>
        </w:rPr>
      </w:pPr>
      <w:r>
        <w:rPr>
          <w:sz w:val="21"/>
          <w:szCs w:val="21"/>
        </w:rPr>
        <w:t>经过此前环境学院二十余年的发展，生态环境学院现已形成了集经济学、管理学和生态学交叉融合具有人大特色的生态环境学科群。学院拥有人口、资源与环境经济学和可持续发展管理两个博士点；人口、资源与环境经济学、可持续发展管理、生态学三个硕士点；资源与环境经济学一个本科专业，并开设有明德环境“经济学－科学”拔尖人才实验班、“资源与环境经济学－公共管理学”双学位实验班；设有理论经济学、公共管理学博士后科研流动站。其中人口、资源与环境经济学作为我校双一流</w:t>
      </w:r>
      <w:r>
        <w:rPr>
          <w:sz w:val="21"/>
          <w:szCs w:val="21"/>
        </w:rPr>
        <w:t>A+</w:t>
      </w:r>
      <w:r>
        <w:rPr>
          <w:sz w:val="21"/>
          <w:szCs w:val="21"/>
        </w:rPr>
        <w:t>学科理论经济学下的二级学科，是国内人口、资源与环境经济学学科成立最早、规模最大、培养层次最为齐全的学科点，被纳入全国首批“双一流”重点建设学科，并拥有国家级和北京市级一流本科专业建设点“资源与环境经济学”。</w:t>
      </w:r>
    </w:p>
    <w:p>
      <w:pPr>
        <w:pStyle w:val="Style21"/>
        <w:spacing w:lineRule="exact" w:line="500" w:before="100" w:after="100"/>
        <w:ind w:firstLineChars="200" w:startChars="0" w:start="0" w:endChars="0" w:end="0"/>
        <w:contextualSpacing/>
        <w:rPr>
          <w:sz w:val="21"/>
          <w:szCs w:val="21"/>
        </w:rPr>
      </w:pPr>
      <w:r>
        <w:rPr>
          <w:sz w:val="21"/>
          <w:szCs w:val="21"/>
        </w:rPr>
        <w:t>学院长期致力于环境污染治理理论与技术应用，以及重大环境现实问题的研究，是我国环境领域综合应用型复合人才的重要培养与培训基地。近</w:t>
      </w:r>
      <w:r>
        <w:rPr>
          <w:sz w:val="21"/>
          <w:szCs w:val="21"/>
        </w:rPr>
        <w:t>20</w:t>
      </w:r>
      <w:r>
        <w:rPr>
          <w:sz w:val="21"/>
          <w:szCs w:val="21"/>
        </w:rPr>
        <w:t>年来，已通过在职课程培训班与短期培训项目，为国家生态文明建设战略的实施输送了大批生态环境治理高级专门人才。</w:t>
      </w:r>
    </w:p>
    <w:p>
      <w:pPr>
        <w:pStyle w:val="Style21"/>
        <w:spacing w:lineRule="exact" w:line="500" w:before="100" w:after="100"/>
        <w:contextualSpacing/>
        <w:rPr>
          <w:sz w:val="21"/>
          <w:szCs w:val="21"/>
        </w:rPr>
      </w:pPr>
      <w:r>
        <w:rPr>
          <w:sz w:val="21"/>
          <w:szCs w:val="21"/>
        </w:rPr>
      </w:r>
    </w:p>
    <w:p>
      <w:pPr>
        <w:pStyle w:val="Style21"/>
        <w:numPr>
          <w:ilvl w:val="0"/>
          <w:numId w:val="2"/>
        </w:numPr>
        <w:spacing w:lineRule="exact" w:line="500" w:before="100" w:after="280"/>
        <w:rPr>
          <w:b/>
          <w:color w:val="C00000"/>
          <w:sz w:val="21"/>
          <w:szCs w:val="21"/>
        </w:rPr>
      </w:pPr>
      <w:r>
        <w:rPr>
          <w:rFonts w:hint="eastAsia"/>
          <w:b/>
          <w:color w:val="C00000"/>
          <w:sz w:val="21"/>
          <w:szCs w:val="21"/>
        </w:rPr>
        <w:t>培养目标</w:t>
      </w:r>
    </w:p>
    <w:p>
      <w:pPr>
        <w:pStyle w:val="Style21"/>
        <w:spacing w:lineRule="exact" w:line="500" w:before="100" w:after="100"/>
        <w:ind w:firstLineChars="200" w:startChars="0" w:start="0" w:endChars="0" w:end="0"/>
        <w:contextualSpacing/>
        <w:rPr>
          <w:b/>
          <w:color w:val="C00000"/>
          <w:sz w:val="21"/>
          <w:szCs w:val="21"/>
        </w:rPr>
      </w:pPr>
      <w:r>
        <w:rPr>
          <w:rFonts w:hint="eastAsia"/>
          <w:kern w:val="2"/>
          <w:sz w:val="21"/>
          <w:szCs w:val="21"/>
        </w:rPr>
        <w:t>本专业主要培养具有扎实的经济与管理理论基础，掌握现代管理技术与方法，人口、资源与环境经济学专业相关知识技能的，能够在国家人口管理与政策研究部门、资源与环境管理部门、科研机构或高等院校从事人口、资源与环境经济理论和政策研究或教学管理工作的全面发展型专业人才。</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numPr>
          <w:ilvl w:val="0"/>
          <w:numId w:val="2"/>
        </w:numPr>
        <w:spacing w:lineRule="exact" w:line="500" w:before="100" w:after="280"/>
        <w:rPr>
          <w:rFonts w:hint="eastAsia"/>
          <w:b/>
          <w:color w:val="C00000"/>
          <w:sz w:val="21"/>
          <w:szCs w:val="21"/>
        </w:rPr>
      </w:pPr>
      <w:r>
        <w:rPr>
          <w:rFonts w:hint="eastAsia"/>
          <w:b/>
          <w:color w:val="C00000"/>
          <w:sz w:val="21"/>
          <w:szCs w:val="21"/>
        </w:rPr>
        <w:t>课程安排</w:t>
      </w:r>
    </w:p>
    <w:tbl>
      <w:tblPr>
        <w:tblW w:w="8560" w:type="dxa"/>
        <w:jc w:val="start"/>
        <w:tblInd w:w="0" w:type="dxa"/>
        <w:tblLayout w:type="fixed"/>
        <w:tblCellMar>
          <w:top w:w="0" w:type="dxa"/>
          <w:start w:w="108" w:type="dxa"/>
          <w:bottom w:w="0" w:type="dxa"/>
          <w:end w:w="108" w:type="dxa"/>
        </w:tblCellMar>
      </w:tblPr>
      <w:tblGrid>
        <w:gridCol w:w="3654"/>
        <w:gridCol w:w="2538"/>
        <w:gridCol w:w="2368"/>
      </w:tblGrid>
      <w:tr>
        <w:trPr>
          <w:trHeight w:val="744" w:hRule="atLeast"/>
        </w:trPr>
        <w:tc>
          <w:tcPr>
            <w:tcW w:w="8560" w:type="dxa"/>
            <w:gridSpan w:val="3"/>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 w:val="false"/>
                <w:color w:val="000000"/>
                <w:sz w:val="21"/>
                <w:szCs w:val="21"/>
                <w:lang w:bidi="ar"/>
              </w:rPr>
            </w:pPr>
            <w:r>
              <w:rPr>
                <w:rFonts w:cs="微软雅黑"/>
                <w:bCs/>
                <w:color w:val="000000"/>
                <w:sz w:val="21"/>
                <w:szCs w:val="21"/>
                <w:lang w:bidi="ar"/>
              </w:rPr>
              <w:t>人口、资源与环境经济学专</w:t>
            </w:r>
            <w:r>
              <w:rPr>
                <w:rFonts w:cs="微软雅黑"/>
                <w:color w:val="000000"/>
                <w:sz w:val="21"/>
                <w:szCs w:val="21"/>
                <w:lang w:bidi="ar"/>
              </w:rPr>
              <w:t>业课程设置</w:t>
            </w:r>
          </w:p>
        </w:tc>
      </w:tr>
      <w:tr>
        <w:trPr>
          <w:trHeight w:val="450" w:hRule="atLeast"/>
        </w:trPr>
        <w:tc>
          <w:tcPr>
            <w:tcW w:w="365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新时代中国特色社会主义理论与实践</w:t>
            </w:r>
          </w:p>
        </w:tc>
        <w:tc>
          <w:tcPr>
            <w:tcW w:w="253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高级环境与资源经济学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高级环境政策分析</w:t>
            </w:r>
          </w:p>
        </w:tc>
      </w:tr>
      <w:tr>
        <w:trPr>
          <w:trHeight w:val="450" w:hRule="atLeast"/>
        </w:trPr>
        <w:tc>
          <w:tcPr>
            <w:tcW w:w="365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高级能源与环境管理</w:t>
            </w:r>
          </w:p>
        </w:tc>
        <w:tc>
          <w:tcPr>
            <w:tcW w:w="253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气候变化经济学</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语言基础</w:t>
            </w:r>
          </w:p>
        </w:tc>
      </w:tr>
      <w:tr>
        <w:trPr>
          <w:trHeight w:val="450" w:hRule="atLeast"/>
        </w:trPr>
        <w:tc>
          <w:tcPr>
            <w:tcW w:w="3654"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rPr>
                <w:rFonts w:cs="微软雅黑"/>
                <w:b w:val="false"/>
                <w:color w:val="000000"/>
                <w:sz w:val="21"/>
                <w:szCs w:val="21"/>
                <w:lang w:bidi="ar"/>
              </w:rPr>
            </w:pPr>
            <w:r>
              <w:rPr>
                <w:rFonts w:cs="宋体;SimSun" w:hint="eastAsia"/>
                <w:b w:val="false"/>
                <w:sz w:val="21"/>
                <w:szCs w:val="21"/>
              </w:rPr>
              <w:t>环境经济模型原理与方法</w:t>
            </w:r>
          </w:p>
        </w:tc>
        <w:tc>
          <w:tcPr>
            <w:tcW w:w="2538" w:type="dxa"/>
            <w:tcBorders>
              <w:top w:val="single" w:sz="4" w:space="0" w:color="000000"/>
              <w:start w:val="single" w:sz="4" w:space="0" w:color="000000"/>
              <w:bottom w:val="single" w:sz="4" w:space="0" w:color="000000"/>
              <w:end w:val="single" w:sz="4" w:space="0" w:color="000000"/>
            </w:tcBorders>
            <w:vAlign w:val="center"/>
          </w:tcPr>
          <w:p>
            <w:pPr>
              <w:pStyle w:val="Style21"/>
              <w:spacing w:lineRule="exact" w:line="500" w:before="100" w:after="0"/>
              <w:rPr>
                <w:rFonts w:cs="微软雅黑"/>
                <w:b/>
                <w:color w:val="000000"/>
                <w:sz w:val="21"/>
                <w:szCs w:val="21"/>
                <w:lang w:bidi="ar"/>
              </w:rPr>
            </w:pPr>
            <w:r>
              <w:rPr>
                <w:rFonts w:hint="eastAsia"/>
                <w:sz w:val="21"/>
                <w:szCs w:val="21"/>
              </w:rPr>
              <w:t>绿色金融</w:t>
            </w:r>
          </w:p>
        </w:tc>
        <w:tc>
          <w:tcPr>
            <w:tcW w:w="2368" w:type="dxa"/>
            <w:tcBorders>
              <w:top w:val="single" w:sz="4" w:space="0" w:color="000000"/>
              <w:start w:val="single" w:sz="4" w:space="0" w:color="000000"/>
              <w:bottom w:val="single" w:sz="4" w:space="0" w:color="000000"/>
              <w:end w:val="single" w:sz="4" w:space="0" w:color="000000"/>
            </w:tcBorders>
            <w:vAlign w:val="center"/>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bl>
    <w:p>
      <w:pPr>
        <w:pStyle w:val="Style21"/>
        <w:spacing w:lineRule="exact" w:line="500" w:before="100" w:after="100"/>
        <w:ind w:firstLineChars="1300" w:startChars="0" w:start="0" w:endChars="0" w:end="0"/>
        <w:contextualSpacing/>
        <w:rPr>
          <w:rFonts w:hint="eastAsia"/>
          <w:sz w:val="21"/>
          <w:szCs w:val="21"/>
        </w:rPr>
      </w:pPr>
      <w:r>
        <w:rPr>
          <w:rFonts w:hint="eastAsia"/>
          <w:sz w:val="21"/>
          <w:szCs w:val="21"/>
        </w:rPr>
        <w:t>注：具体请参照实际教学</w:t>
      </w:r>
    </w:p>
    <w:p>
      <w:pPr>
        <w:pStyle w:val="Style21"/>
        <w:spacing w:lineRule="exact" w:line="500" w:before="100" w:after="100"/>
        <w:contextualSpacing/>
        <w:rPr>
          <w:rFonts w:hint="eastAsia"/>
          <w:sz w:val="21"/>
          <w:szCs w:val="21"/>
        </w:rPr>
      </w:pPr>
      <w:r>
        <w:rPr>
          <w:rFonts w:hint="eastAsia"/>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1"/>
        <w:spacing w:lineRule="exact" w:line="500" w:before="100" w:after="100"/>
        <w:contextualSpacing/>
        <w:rPr>
          <w:sz w:val="21"/>
          <w:szCs w:val="21"/>
        </w:rPr>
      </w:pPr>
      <w:r>
        <w:rPr>
          <w:sz w:val="21"/>
          <w:szCs w:val="21"/>
        </w:rPr>
        <w:t>　　在职课程培训班采取</w:t>
      </w:r>
      <w:r>
        <w:rPr>
          <w:rFonts w:hint="eastAsia"/>
          <w:sz w:val="21"/>
          <w:szCs w:val="21"/>
        </w:rPr>
        <w:t>面授、</w:t>
      </w:r>
      <w:r>
        <w:rPr>
          <w:sz w:val="21"/>
          <w:szCs w:val="21"/>
        </w:rPr>
        <w:t>直播与录播相结合的教学方式授课，学习结束统一组织考核</w:t>
      </w:r>
      <w:r>
        <w:rPr>
          <w:sz w:val="21"/>
          <w:szCs w:val="21"/>
        </w:rPr>
        <w:t>(</w:t>
      </w:r>
      <w:r>
        <w:rPr>
          <w:sz w:val="21"/>
          <w:szCs w:val="21"/>
        </w:rPr>
        <w:t>撰写一份约</w:t>
      </w:r>
      <w:r>
        <w:rPr>
          <w:sz w:val="21"/>
          <w:szCs w:val="21"/>
        </w:rPr>
        <w:t>2000</w:t>
      </w:r>
      <w:r>
        <w:rPr>
          <w:sz w:val="21"/>
          <w:szCs w:val="21"/>
        </w:rPr>
        <w:t>字的课程学习报告</w:t>
      </w:r>
      <w:r>
        <w:rPr>
          <w:sz w:val="21"/>
          <w:szCs w:val="21"/>
        </w:rPr>
        <w:t>)</w:t>
      </w:r>
      <w:r>
        <w:rPr>
          <w:sz w:val="21"/>
          <w:szCs w:val="21"/>
        </w:rPr>
        <w:t>。</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1"/>
        <w:spacing w:lineRule="exact" w:line="500" w:before="100" w:after="100"/>
        <w:contextualSpacing/>
        <w:rPr>
          <w:sz w:val="21"/>
          <w:szCs w:val="21"/>
        </w:rPr>
      </w:pPr>
      <w:r>
        <w:rPr>
          <w:sz w:val="21"/>
          <w:szCs w:val="21"/>
        </w:rPr>
        <w:t>　　学习时间：一年。自开班之日起算。</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1</w:t>
      </w:r>
      <w:r>
        <w:rPr>
          <w:sz w:val="21"/>
          <w:szCs w:val="21"/>
        </w:rPr>
        <w:t>、</w:t>
      </w:r>
      <w:r>
        <w:rPr>
          <w:rFonts w:hint="eastAsia"/>
          <w:sz w:val="21"/>
          <w:szCs w:val="21"/>
        </w:rPr>
        <w:t>报名条件</w:t>
      </w:r>
    </w:p>
    <w:p>
      <w:pPr>
        <w:pStyle w:val="Style21"/>
        <w:spacing w:lineRule="exact" w:line="500" w:before="100" w:after="100"/>
        <w:ind w:firstLineChars="0" w:firstLine="0" w:startChars="200" w:endChars="0" w:end="0"/>
        <w:contextualSpacing/>
        <w:rPr>
          <w:sz w:val="21"/>
          <w:szCs w:val="21"/>
        </w:rPr>
      </w:pPr>
      <w:r>
        <w:rPr>
          <w:sz w:val="21"/>
          <w:szCs w:val="21"/>
        </w:rPr>
        <w:t>①</w:t>
      </w:r>
      <w:r>
        <w:rPr>
          <w:rFonts w:hint="eastAsia"/>
          <w:sz w:val="21"/>
          <w:szCs w:val="21"/>
        </w:rPr>
        <w:t xml:space="preserve"> </w:t>
      </w:r>
      <w:r>
        <w:rPr>
          <w:sz w:val="21"/>
          <w:szCs w:val="21"/>
        </w:rPr>
        <w:t>拥护《中华人民共和国宪法》，遵守法律、法规，思想政治表现好</w:t>
      </w:r>
      <w:r>
        <w:rPr>
          <w:rFonts w:hint="eastAsia"/>
          <w:sz w:val="21"/>
          <w:szCs w:val="21"/>
        </w:rPr>
        <w:t>；</w:t>
      </w:r>
      <w:r>
        <w:rPr>
          <w:sz w:val="21"/>
          <w:szCs w:val="21"/>
        </w:rPr>
        <w:t>身体健康，并能坚持在职学习者</w:t>
      </w:r>
      <w:r>
        <w:rPr>
          <w:rFonts w:hint="eastAsia"/>
          <w:sz w:val="21"/>
          <w:szCs w:val="21"/>
        </w:rPr>
        <w:t>；</w:t>
      </w:r>
    </w:p>
    <w:p>
      <w:pPr>
        <w:pStyle w:val="Style21"/>
        <w:spacing w:lineRule="exact" w:line="500" w:before="100" w:after="100"/>
        <w:ind w:firstLineChars="0" w:firstLine="0" w:startChars="200" w:endChars="0" w:end="0"/>
        <w:contextualSpacing/>
        <w:rPr>
          <w:sz w:val="21"/>
          <w:szCs w:val="21"/>
        </w:rPr>
      </w:pPr>
      <w:r>
        <w:rPr>
          <w:sz w:val="21"/>
          <w:szCs w:val="21"/>
        </w:rPr>
        <w:t>②</w:t>
      </w:r>
      <w:r>
        <w:rPr>
          <w:rFonts w:hint="eastAsia"/>
          <w:sz w:val="21"/>
          <w:szCs w:val="21"/>
        </w:rPr>
        <w:t xml:space="preserve"> </w:t>
      </w:r>
      <w:r>
        <w:rPr>
          <w:sz w:val="21"/>
          <w:szCs w:val="21"/>
        </w:rPr>
        <w:t>大专及以上学历者。</w:t>
      </w:r>
    </w:p>
    <w:p>
      <w:pPr>
        <w:pStyle w:val="Style21"/>
        <w:spacing w:lineRule="exact" w:line="500" w:before="100" w:after="100"/>
        <w:contextualSpacing/>
        <w:rPr>
          <w:sz w:val="21"/>
          <w:szCs w:val="21"/>
        </w:rPr>
      </w:pPr>
      <w:r>
        <w:rPr>
          <w:sz w:val="21"/>
          <w:szCs w:val="21"/>
        </w:rPr>
        <w:t>　</w:t>
      </w:r>
      <w:r>
        <w:rPr>
          <w:rFonts w:hint="eastAsia"/>
          <w:sz w:val="21"/>
          <w:szCs w:val="21"/>
        </w:rPr>
        <w:t>2</w:t>
      </w:r>
      <w:r>
        <w:rPr>
          <w:sz w:val="21"/>
          <w:szCs w:val="21"/>
        </w:rPr>
        <w:t>、报名手续：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 xml:space="preserve"> </w:t>
      </w:r>
      <w:r>
        <w:rPr>
          <w:sz w:val="21"/>
          <w:szCs w:val="21"/>
        </w:rPr>
        <w:t>①</w:t>
      </w:r>
      <w:r>
        <w:rPr>
          <w:rFonts w:hint="eastAsia"/>
          <w:sz w:val="21"/>
          <w:szCs w:val="21"/>
        </w:rPr>
        <w:t xml:space="preserve"> </w:t>
      </w:r>
      <w:r>
        <w:rPr>
          <w:sz w:val="21"/>
          <w:szCs w:val="21"/>
        </w:rPr>
        <w:t>填写在职课程培训班报名登记表</w:t>
      </w:r>
      <w:r>
        <w:rPr>
          <w:rFonts w:hint="eastAsia"/>
          <w:sz w:val="21"/>
          <w:szCs w:val="21"/>
        </w:rPr>
        <w:t>；</w:t>
      </w:r>
    </w:p>
    <w:p>
      <w:pPr>
        <w:pStyle w:val="Style21"/>
        <w:spacing w:lineRule="exact" w:line="500" w:before="100" w:after="100"/>
        <w:contextualSpacing/>
        <w:rPr>
          <w:sz w:val="21"/>
          <w:szCs w:val="21"/>
        </w:rPr>
      </w:pPr>
      <w:r>
        <w:rPr>
          <w:sz w:val="21"/>
          <w:szCs w:val="21"/>
        </w:rPr>
        <w:t>　　</w:t>
      </w:r>
      <w:r>
        <w:rPr>
          <w:rFonts w:hint="eastAsia"/>
          <w:sz w:val="21"/>
          <w:szCs w:val="21"/>
        </w:rPr>
        <w:t xml:space="preserve"> </w:t>
      </w:r>
      <w:r>
        <w:rPr>
          <w:sz w:val="21"/>
          <w:szCs w:val="21"/>
        </w:rPr>
        <w:t>②</w:t>
      </w:r>
      <w:r>
        <w:rPr>
          <w:rFonts w:hint="eastAsia"/>
          <w:sz w:val="21"/>
          <w:szCs w:val="21"/>
        </w:rPr>
        <w:t xml:space="preserve"> </w:t>
      </w:r>
      <w:r>
        <w:rPr>
          <w:sz w:val="21"/>
          <w:szCs w:val="21"/>
        </w:rPr>
        <w:t>提交学历</w:t>
      </w:r>
      <w:r>
        <w:rPr>
          <w:rFonts w:hint="eastAsia"/>
          <w:sz w:val="21"/>
          <w:szCs w:val="21"/>
        </w:rPr>
        <w:t>证书</w:t>
      </w:r>
      <w:r>
        <w:rPr>
          <w:sz w:val="21"/>
          <w:szCs w:val="21"/>
        </w:rPr>
        <w:t>、学位证书、身份证</w:t>
      </w:r>
      <w:r>
        <w:rPr>
          <w:rFonts w:hint="eastAsia"/>
          <w:sz w:val="21"/>
          <w:szCs w:val="21"/>
        </w:rPr>
        <w:t>正反面以</w:t>
      </w:r>
      <w:r>
        <w:rPr>
          <w:sz w:val="21"/>
          <w:szCs w:val="21"/>
        </w:rPr>
        <w:t>及白底照片</w:t>
      </w:r>
      <w:r>
        <w:rPr>
          <w:rFonts w:hint="eastAsia"/>
          <w:sz w:val="21"/>
          <w:szCs w:val="21"/>
        </w:rPr>
        <w:t>电子版本</w:t>
      </w:r>
      <w:r>
        <w:rPr>
          <w:sz w:val="21"/>
          <w:szCs w:val="21"/>
        </w:rPr>
        <w:t>。</w:t>
      </w:r>
    </w:p>
    <w:p>
      <w:pPr>
        <w:pStyle w:val="Style21"/>
        <w:spacing w:lineRule="exact" w:line="500" w:before="100" w:after="10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1"/>
        <w:spacing w:lineRule="exact" w:line="500" w:before="100" w:after="100"/>
        <w:contextualSpacing/>
        <w:rPr>
          <w:sz w:val="21"/>
          <w:szCs w:val="21"/>
        </w:rPr>
      </w:pPr>
      <w:r>
        <w:rPr>
          <w:sz w:val="21"/>
          <w:szCs w:val="21"/>
        </w:rPr>
        <w:t>　　在职课程培训班费用</w:t>
      </w:r>
      <w:r>
        <w:rPr>
          <w:sz w:val="21"/>
          <w:szCs w:val="21"/>
        </w:rPr>
        <w:t>3</w:t>
      </w:r>
      <w:r>
        <w:rPr>
          <w:rFonts w:hint="eastAsia"/>
          <w:sz w:val="21"/>
          <w:szCs w:val="21"/>
        </w:rPr>
        <w:t>8</w:t>
      </w:r>
      <w:r>
        <w:rPr>
          <w:sz w:val="21"/>
          <w:szCs w:val="21"/>
        </w:rPr>
        <w:t>000</w:t>
      </w:r>
      <w:r>
        <w:rPr>
          <w:sz w:val="21"/>
          <w:szCs w:val="21"/>
        </w:rPr>
        <w:t>元。</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1"/>
        <w:spacing w:lineRule="exact" w:line="500" w:before="100" w:after="100"/>
        <w:ind w:firstLine="420" w:end="0"/>
        <w:contextualSpacing/>
        <w:rPr>
          <w:rFonts w:hint="eastAsia"/>
          <w:sz w:val="21"/>
          <w:szCs w:val="21"/>
        </w:rPr>
      </w:pPr>
      <w:r>
        <w:rPr>
          <w:sz w:val="21"/>
          <w:szCs w:val="21"/>
        </w:rPr>
        <w:t>学员在规定期限内完成在职课程培训班的学习项目，通过规定的课程考试，由中国人民大学继续教育处颁发在职课程培训班结业证书。</w:t>
      </w:r>
    </w:p>
    <w:p>
      <w:pPr>
        <w:pStyle w:val="Style21"/>
        <w:spacing w:lineRule="exact" w:line="500" w:before="100" w:after="10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2026-12-27T21:44:00Z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94784B48501249529DB019AE4B55350F_13</vt:lpwstr>
  </property>
  <property fmtid="{D5CDD505-2E9C-101B-9397-08002B2CF9AE}" pid="3" name="KSOProductBuildVer">
    <vt:lpwstr>2052-12.1.0.17133</vt:lpwstr>
  </property>
</Properties>
</file>