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0"/>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0"/>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0"/>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年中国人民大学化学与生命资源学院</w:t>
      </w:r>
      <w:r>
        <w:rPr>
          <w:rFonts w:hint="eastAsia"/>
          <w:b/>
          <w:bCs/>
          <w:sz w:val="30"/>
          <w:szCs w:val="30"/>
        </w:rPr>
        <w:t>环境工程</w:t>
      </w:r>
      <w:r>
        <w:rPr>
          <w:b/>
          <w:bCs/>
          <w:sz w:val="30"/>
          <w:szCs w:val="30"/>
        </w:rPr>
        <w:t>专业</w:t>
      </w:r>
    </w:p>
    <w:p>
      <w:pPr>
        <w:pStyle w:val="Style20"/>
        <w:spacing w:lineRule="exact" w:line="500" w:before="100" w:after="100"/>
        <w:contextualSpacing/>
        <w:jc w:val="center"/>
        <w:rPr>
          <w:b/>
          <w:bCs/>
          <w:sz w:val="30"/>
          <w:szCs w:val="30"/>
        </w:rPr>
      </w:pPr>
      <w:r>
        <w:rPr>
          <w:b/>
          <w:bCs/>
          <w:sz w:val="30"/>
          <w:szCs w:val="30"/>
        </w:rPr>
        <w:t>在职课程培训班</w:t>
      </w:r>
    </w:p>
    <w:p>
      <w:pPr>
        <w:pStyle w:val="Style20"/>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0"/>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理工</w:t>
      </w:r>
      <w:r>
        <w:rPr>
          <w:color w:val="C00000"/>
          <w:sz w:val="21"/>
          <w:szCs w:val="21"/>
        </w:rPr>
        <w:t>]</w:t>
      </w:r>
      <w:r>
        <w:rPr>
          <w:sz w:val="21"/>
          <w:szCs w:val="21"/>
        </w:rPr>
        <w:t xml:space="preserve">      </w:t>
      </w:r>
      <w:r>
        <w:rPr>
          <w:sz w:val="21"/>
          <w:szCs w:val="21"/>
        </w:rPr>
        <w:t>培训费：</w:t>
      </w:r>
      <w:r>
        <w:rPr>
          <w:color w:val="C00000"/>
          <w:sz w:val="21"/>
          <w:szCs w:val="21"/>
        </w:rPr>
        <w:t>3</w:t>
      </w:r>
      <w:r>
        <w:rPr>
          <w:rFonts w:hint="eastAsia"/>
          <w:color w:val="C00000"/>
          <w:sz w:val="21"/>
          <w:szCs w:val="21"/>
        </w:rPr>
        <w:t>8</w:t>
      </w:r>
      <w:r>
        <w:rPr>
          <w:color w:val="C00000"/>
          <w:sz w:val="21"/>
          <w:szCs w:val="21"/>
        </w:rPr>
        <w:t>000.00</w:t>
      </w:r>
      <w:r>
        <w:rPr>
          <w:color w:val="C00000"/>
          <w:sz w:val="21"/>
          <w:szCs w:val="21"/>
        </w:rPr>
        <w:t xml:space="preserve">元 </w:t>
      </w:r>
      <w:r>
        <w:rPr>
          <w:sz w:val="21"/>
          <w:szCs w:val="21"/>
        </w:rPr>
        <w:t xml:space="preserve">    主办单位：</w:t>
      </w:r>
      <w:r>
        <w:rPr>
          <w:rFonts w:hint="eastAsia"/>
          <w:color w:val="C00000"/>
          <w:sz w:val="21"/>
          <w:szCs w:val="21"/>
        </w:rPr>
        <w:t>化学与生命资源学院</w:t>
      </w:r>
    </w:p>
    <w:p>
      <w:pPr>
        <w:pStyle w:val="Normal"/>
        <w:spacing w:lineRule="exact" w:line="500"/>
        <w:ind w:firstLineChars="200" w:startChars="0" w:start="0" w:endChars="0" w:end="0"/>
        <w:rPr>
          <w:rFonts w:ascii="宋体" w:hAnsi="宋体" w:cs="宋体"/>
          <w:szCs w:val="21"/>
        </w:rPr>
      </w:pPr>
      <w:r>
        <w:rPr>
          <w:rFonts w:ascii="宋体" w:hAnsi="宋体" w:cs="宋体" w:hint="eastAsia"/>
          <w:szCs w:val="21"/>
        </w:rPr>
        <w:t>中国人民大学是一所以人文社会科学为主的综合性研究型全国重点大学。学校是国家“</w:t>
      </w:r>
      <w:r>
        <w:rPr>
          <w:rFonts w:cs="宋体" w:hint="eastAsia" w:ascii="宋体" w:hAnsi="宋体"/>
          <w:szCs w:val="21"/>
        </w:rPr>
        <w:t>985</w:t>
      </w:r>
      <w:r>
        <w:rPr>
          <w:rFonts w:ascii="宋体" w:hAnsi="宋体" w:cs="宋体" w:hint="eastAsia"/>
          <w:szCs w:val="21"/>
        </w:rPr>
        <w:t>工程”和“</w:t>
      </w:r>
      <w:r>
        <w:rPr>
          <w:rFonts w:cs="宋体" w:hint="eastAsia" w:ascii="宋体" w:hAnsi="宋体"/>
          <w:szCs w:val="21"/>
        </w:rPr>
        <w:t>211</w:t>
      </w:r>
      <w:r>
        <w:rPr>
          <w:rFonts w:ascii="宋体" w:hAnsi="宋体" w:cs="宋体" w:hint="eastAsia"/>
          <w:szCs w:val="21"/>
        </w:rPr>
        <w:t>工程”重点建设的大学之一，在长期办学实践中成绩显著被誉为“我国人文社会科学高等教育领域的一面旗帜”。</w:t>
      </w:r>
    </w:p>
    <w:p>
      <w:pPr>
        <w:pStyle w:val="Style20"/>
        <w:spacing w:lineRule="exact" w:line="500" w:before="100" w:after="100"/>
        <w:contextualSpacing/>
        <w:rPr>
          <w:b/>
          <w:color w:val="C00000"/>
          <w:sz w:val="21"/>
          <w:szCs w:val="21"/>
        </w:rPr>
      </w:pPr>
      <w:r>
        <w:rPr>
          <w:b/>
          <w:color w:val="C00000"/>
          <w:sz w:val="21"/>
          <w:szCs w:val="21"/>
        </w:rPr>
        <w:t>一、学院及专业优势简介</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中国人民大学化学与生命资源学院，是在全面贯彻落实党的二十大精神，深入贯彻落实习近平总书记在学校考察调研时重要讲话精神，全面落实学校第十五次党代会部署，服务高水平科技自立自强，凝练学校理工学科特色方向，优化理工学科战略布局指导下，以保障人民生命与健康、保护并传承中华民族悠久的历史文化为使命，在中国人民大学原化学系和环境科学与工程系的基础上重组升格的新型学院。  </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学院紧紧围绕服务中国式现代化和发展新质生产力的核心理念，以“厚基础、重交叉、促融通”为发展路径，围绕“生命资源”这一富有前瞻性的全新概念，深度融合化学、环境、农林、材料和医学等多学科资源，聚焦于有机生命和无机生命两类专业体系，积极促进生命资源学科与环境治理、医学诊疗、红色文献保护等领域的深度融合，将在“面向皮肤医学工程的光电科技”、“水资源保护与利用”、“智慧农林材料与技术”、“革命文物修复与保护”这四个前沿方向上积极布局。</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学院下设“资源再生与保护中心”、“合成资源中心”、“物质结构与分析中心”、“材料科学与工程中心”四大研究中心，具有从本科到硕士、博士研究生和博士后科研流动站完整的人才培养体系。环境工程硕士点于</w:t>
      </w:r>
      <w:r>
        <w:rPr>
          <w:rFonts w:hint="eastAsia"/>
          <w:sz w:val="21"/>
          <w:szCs w:val="21"/>
        </w:rPr>
        <w:t>2006</w:t>
      </w:r>
      <w:r>
        <w:rPr>
          <w:rFonts w:hint="eastAsia"/>
          <w:sz w:val="21"/>
          <w:szCs w:val="21"/>
        </w:rPr>
        <w:t>年设立，经过近</w:t>
      </w:r>
      <w:r>
        <w:rPr>
          <w:rFonts w:hint="eastAsia"/>
          <w:sz w:val="21"/>
          <w:szCs w:val="21"/>
        </w:rPr>
        <w:t>20</w:t>
      </w:r>
      <w:r>
        <w:rPr>
          <w:rFonts w:hint="eastAsia"/>
          <w:sz w:val="21"/>
          <w:szCs w:val="21"/>
        </w:rPr>
        <w:t>年的发展，环境工程学科在“水污染治理理论与技术”、“大气污染治理与控制技术”、“环境污染检测技术”等研究方向已经具有一定的特色和优势，在国内外形成了一定的影响力。</w:t>
      </w:r>
    </w:p>
    <w:p>
      <w:pPr>
        <w:pStyle w:val="Style20"/>
        <w:spacing w:lineRule="exact" w:line="500" w:before="100" w:after="100"/>
        <w:ind w:firstLineChars="200" w:startChars="0" w:start="0" w:endChars="0" w:end="0"/>
        <w:contextualSpacing/>
        <w:rPr>
          <w:sz w:val="21"/>
          <w:szCs w:val="21"/>
        </w:rPr>
      </w:pPr>
      <w:r>
        <w:rPr>
          <w:rFonts w:hint="eastAsia"/>
          <w:sz w:val="21"/>
          <w:szCs w:val="21"/>
        </w:rPr>
      </w:r>
    </w:p>
    <w:p>
      <w:pPr>
        <w:pStyle w:val="Style20"/>
        <w:spacing w:lineRule="exact" w:line="500" w:before="100" w:after="100"/>
        <w:contextualSpacing/>
        <w:rPr>
          <w:rFonts w:hint="eastAsia"/>
          <w:b/>
          <w:color w:val="C00000"/>
          <w:sz w:val="21"/>
          <w:szCs w:val="21"/>
        </w:rPr>
      </w:pPr>
      <w:r>
        <w:rPr>
          <w:rFonts w:hint="eastAsia"/>
          <w:b/>
          <w:color w:val="C00000"/>
          <w:sz w:val="21"/>
          <w:szCs w:val="21"/>
        </w:rPr>
        <w:t>二、课程安排</w:t>
      </w:r>
    </w:p>
    <w:tbl>
      <w:tblPr>
        <w:tblW w:w="8560" w:type="dxa"/>
        <w:jc w:val="start"/>
        <w:tblInd w:w="0" w:type="dxa"/>
        <w:tblLayout w:type="fixed"/>
        <w:tblCellMar>
          <w:top w:w="0" w:type="dxa"/>
          <w:start w:w="108" w:type="dxa"/>
          <w:bottom w:w="0" w:type="dxa"/>
          <w:end w:w="108" w:type="dxa"/>
        </w:tblCellMar>
      </w:tblPr>
      <w:tblGrid>
        <w:gridCol w:w="3889"/>
        <w:gridCol w:w="2745"/>
        <w:gridCol w:w="1926"/>
      </w:tblGrid>
      <w:tr>
        <w:trPr>
          <w:trHeight w:val="744" w:hRule="atLeast"/>
        </w:trPr>
        <w:tc>
          <w:tcPr>
            <w:tcW w:w="8560" w:type="dxa"/>
            <w:gridSpan w:val="3"/>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环境工程</w:t>
            </w:r>
            <w:r>
              <w:rPr>
                <w:rFonts w:cs="微软雅黑"/>
                <w:bCs/>
                <w:color w:val="000000"/>
                <w:sz w:val="21"/>
                <w:szCs w:val="21"/>
                <w:lang w:bidi="ar"/>
              </w:rPr>
              <w:t>专</w:t>
            </w:r>
            <w:r>
              <w:rPr>
                <w:rFonts w:cs="微软雅黑"/>
                <w:color w:val="000000"/>
                <w:sz w:val="21"/>
                <w:szCs w:val="21"/>
                <w:lang w:bidi="ar"/>
              </w:rPr>
              <w:t>业课程设置</w:t>
            </w:r>
          </w:p>
        </w:tc>
      </w:tr>
      <w:tr>
        <w:trPr>
          <w:trHeight w:val="450" w:hRule="atLeast"/>
        </w:trPr>
        <w:tc>
          <w:tcPr>
            <w:tcW w:w="3889"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习近平新时代中国特色社会主义思想</w:t>
            </w:r>
          </w:p>
        </w:tc>
        <w:tc>
          <w:tcPr>
            <w:tcW w:w="274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碳中和与新能源前沿进展</w:t>
            </w:r>
          </w:p>
        </w:tc>
        <w:tc>
          <w:tcPr>
            <w:tcW w:w="19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语言基础</w:t>
            </w:r>
          </w:p>
        </w:tc>
      </w:tr>
      <w:tr>
        <w:trPr>
          <w:trHeight w:val="450" w:hRule="atLeast"/>
        </w:trPr>
        <w:tc>
          <w:tcPr>
            <w:tcW w:w="3889"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环境科学与工程实验研究基础</w:t>
            </w:r>
          </w:p>
        </w:tc>
        <w:tc>
          <w:tcPr>
            <w:tcW w:w="274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自然辩证法概论</w:t>
            </w:r>
          </w:p>
        </w:tc>
        <w:tc>
          <w:tcPr>
            <w:tcW w:w="19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废物资源化技术</w:t>
            </w:r>
          </w:p>
        </w:tc>
      </w:tr>
      <w:tr>
        <w:trPr>
          <w:trHeight w:val="587" w:hRule="atLeast"/>
        </w:trPr>
        <w:tc>
          <w:tcPr>
            <w:tcW w:w="3889"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大气复合污染与控制前沿</w:t>
            </w:r>
          </w:p>
        </w:tc>
        <w:tc>
          <w:tcPr>
            <w:tcW w:w="274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固废处理前沿及热点探索</w:t>
            </w:r>
          </w:p>
        </w:tc>
        <w:tc>
          <w:tcPr>
            <w:tcW w:w="19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水处理新技术及工程应用</w:t>
            </w:r>
          </w:p>
        </w:tc>
      </w:tr>
      <w:tr>
        <w:trPr>
          <w:trHeight w:val="450" w:hRule="atLeast"/>
        </w:trPr>
        <w:tc>
          <w:tcPr>
            <w:tcW w:w="3889"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学术规范与论文写作</w:t>
            </w:r>
          </w:p>
        </w:tc>
        <w:tc>
          <w:tcPr>
            <w:tcW w:w="274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现代环境生物工程技术</w:t>
            </w:r>
          </w:p>
        </w:tc>
        <w:tc>
          <w:tcPr>
            <w:tcW w:w="19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专业文献研究</w:t>
            </w:r>
          </w:p>
        </w:tc>
      </w:tr>
      <w:tr>
        <w:trPr>
          <w:trHeight w:val="450" w:hRule="atLeast"/>
        </w:trPr>
        <w:tc>
          <w:tcPr>
            <w:tcW w:w="3889"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废水生物处理过程与动力学</w:t>
            </w:r>
          </w:p>
        </w:tc>
        <w:tc>
          <w:tcPr>
            <w:tcW w:w="2745"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环境催化原理及应用</w:t>
            </w:r>
          </w:p>
        </w:tc>
        <w:tc>
          <w:tcPr>
            <w:tcW w:w="1926"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ascii="宋体" w:hAnsi="宋体" w:eastAsia="宋体" w:cs="宋体" w:hint="eastAsia"/>
                <w:b w:val="false"/>
                <w:bCs/>
                <w:sz w:val="21"/>
                <w:szCs w:val="21"/>
                <w:lang w:bidi="ar"/>
              </w:rPr>
            </w:pPr>
            <w:r>
              <w:rPr>
                <w:rFonts w:ascii="宋体" w:hAnsi="宋体" w:cs="宋体" w:hint="eastAsia"/>
                <w:b w:val="false"/>
                <w:bCs/>
                <w:i w:val="false"/>
                <w:iCs w:val="false"/>
                <w:caps w:val="false"/>
                <w:smallCaps w:val="false"/>
                <w:spacing w:val="8"/>
                <w:sz w:val="21"/>
                <w:szCs w:val="21"/>
                <w:shd w:fill="FFFFFF" w:val="clear"/>
              </w:rPr>
              <w:t>当代水污染治理理论与方法</w:t>
            </w:r>
          </w:p>
        </w:tc>
      </w:tr>
    </w:tbl>
    <w:p>
      <w:pPr>
        <w:pStyle w:val="Style20"/>
        <w:spacing w:lineRule="exact" w:line="500" w:before="100" w:after="100"/>
        <w:ind w:firstLineChars="1300" w:startChars="0" w:start="0" w:endChars="0" w:end="0"/>
        <w:contextualSpacing/>
        <w:rPr>
          <w:rFonts w:eastAsia="宋体"/>
          <w:sz w:val="21"/>
          <w:szCs w:val="21"/>
        </w:rPr>
      </w:pPr>
      <w:r>
        <w:rPr>
          <w:rFonts w:hint="eastAsia"/>
          <w:sz w:val="21"/>
          <w:szCs w:val="21"/>
        </w:rPr>
        <w:t xml:space="preserve">注：具体请参照实际教学   </w:t>
      </w:r>
    </w:p>
    <w:p>
      <w:pPr>
        <w:pStyle w:val="Style20"/>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0"/>
        <w:spacing w:lineRule="exact" w:line="500" w:before="100" w:after="100"/>
        <w:contextualSpacing/>
        <w:rPr>
          <w:sz w:val="21"/>
          <w:szCs w:val="21"/>
        </w:rPr>
      </w:pPr>
      <w:r>
        <w:rPr>
          <w:sz w:val="21"/>
          <w:szCs w:val="21"/>
        </w:rPr>
        <w:t>　　</w:t>
      </w:r>
      <w:r>
        <w:rPr>
          <w:rFonts w:hint="eastAsia"/>
          <w:sz w:val="21"/>
          <w:szCs w:val="21"/>
        </w:rPr>
        <w:t xml:space="preserve"> </w:t>
      </w:r>
      <w:r>
        <w:rPr>
          <w:sz w:val="21"/>
          <w:szCs w:val="21"/>
        </w:rPr>
        <w:t>在职课程培训班采取面授与线上直播相结合的教学方式授课，学习结束统一组织考核（撰写一份约</w:t>
      </w:r>
      <w:r>
        <w:rPr>
          <w:sz w:val="21"/>
          <w:szCs w:val="21"/>
        </w:rPr>
        <w:t>2000</w:t>
      </w:r>
      <w:r>
        <w:rPr>
          <w:sz w:val="21"/>
          <w:szCs w:val="21"/>
        </w:rPr>
        <w:t>字的课程学习报告）。</w:t>
      </w:r>
    </w:p>
    <w:p>
      <w:pPr>
        <w:pStyle w:val="Style20"/>
        <w:spacing w:lineRule="exact" w:line="500" w:before="100" w:after="100"/>
        <w:contextualSpacing/>
        <w:rPr>
          <w:rFonts w:hint="eastAsia"/>
          <w:b/>
          <w:color w:val="C00000"/>
          <w:sz w:val="21"/>
          <w:szCs w:val="21"/>
        </w:rPr>
      </w:pPr>
      <w:r>
        <w:rPr>
          <w:rFonts w:hint="eastAsia"/>
          <w:b/>
          <w:color w:val="C00000"/>
          <w:sz w:val="21"/>
          <w:szCs w:val="21"/>
        </w:rPr>
      </w:r>
    </w:p>
    <w:p>
      <w:pPr>
        <w:pStyle w:val="Style20"/>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0"/>
        <w:spacing w:lineRule="exact" w:line="500" w:before="100" w:after="100"/>
        <w:contextualSpacing/>
        <w:rPr>
          <w:sz w:val="21"/>
          <w:szCs w:val="21"/>
        </w:rPr>
      </w:pPr>
      <w:r>
        <w:rPr>
          <w:sz w:val="21"/>
          <w:szCs w:val="21"/>
        </w:rPr>
        <w:t>　　学习时间：一年。</w:t>
      </w:r>
    </w:p>
    <w:p>
      <w:pPr>
        <w:pStyle w:val="Style20"/>
        <w:spacing w:lineRule="exact" w:line="500" w:before="100" w:after="100"/>
        <w:contextualSpacing/>
        <w:rPr>
          <w:sz w:val="21"/>
          <w:szCs w:val="21"/>
        </w:rPr>
      </w:pPr>
      <w:r>
        <w:rPr>
          <w:sz w:val="21"/>
          <w:szCs w:val="21"/>
        </w:rPr>
      </w:r>
    </w:p>
    <w:p>
      <w:pPr>
        <w:pStyle w:val="Style20"/>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20"/>
        <w:spacing w:lineRule="exact" w:line="500" w:before="100" w:after="100"/>
        <w:contextualSpacing/>
        <w:rPr>
          <w:rFonts w:hint="eastAsia"/>
          <w:sz w:val="21"/>
          <w:szCs w:val="21"/>
        </w:rPr>
      </w:pPr>
      <w:r>
        <w:rPr>
          <w:sz w:val="21"/>
          <w:szCs w:val="21"/>
        </w:rPr>
        <w:t>　</w:t>
      </w:r>
      <w:r>
        <w:rPr>
          <w:rFonts w:hint="eastAsia"/>
          <w:sz w:val="21"/>
          <w:szCs w:val="21"/>
        </w:rPr>
        <w:t>1</w:t>
      </w:r>
      <w:r>
        <w:rPr>
          <w:sz w:val="21"/>
          <w:szCs w:val="21"/>
        </w:rPr>
        <w:t>、</w:t>
      </w:r>
      <w:r>
        <w:rPr>
          <w:rFonts w:hint="eastAsia"/>
          <w:sz w:val="21"/>
          <w:szCs w:val="21"/>
        </w:rPr>
        <w:t>报名条件</w:t>
      </w:r>
    </w:p>
    <w:p>
      <w:pPr>
        <w:pStyle w:val="Style20"/>
        <w:spacing w:lineRule="exact" w:line="500" w:before="100" w:after="100"/>
        <w:ind w:firstLineChars="0" w:firstLine="0" w:startChars="200" w:endChars="0" w:end="0"/>
        <w:contextualSpacing/>
        <w:rPr>
          <w:sz w:val="21"/>
          <w:szCs w:val="21"/>
        </w:rPr>
      </w:pPr>
      <w:r>
        <w:rPr>
          <w:sz w:val="21"/>
          <w:szCs w:val="21"/>
        </w:rPr>
        <w:t>①</w:t>
      </w:r>
      <w:r>
        <w:rPr>
          <w:rFonts w:hint="eastAsia"/>
          <w:sz w:val="21"/>
          <w:szCs w:val="21"/>
        </w:rPr>
        <w:t xml:space="preserve"> </w:t>
      </w:r>
      <w:r>
        <w:rPr>
          <w:sz w:val="21"/>
          <w:szCs w:val="21"/>
        </w:rPr>
        <w:t>拥护《中华人民共和国宪法》，遵守法律、法规，思想政治表现好</w:t>
      </w:r>
      <w:r>
        <w:rPr>
          <w:rFonts w:hint="eastAsia"/>
          <w:sz w:val="21"/>
          <w:szCs w:val="21"/>
        </w:rPr>
        <w:t>；</w:t>
      </w:r>
      <w:r>
        <w:rPr>
          <w:sz w:val="21"/>
          <w:szCs w:val="21"/>
        </w:rPr>
        <w:t>身体健康，并能坚持在职学习者</w:t>
      </w:r>
      <w:r>
        <w:rPr>
          <w:rFonts w:hint="eastAsia"/>
          <w:sz w:val="21"/>
          <w:szCs w:val="21"/>
        </w:rPr>
        <w:t>；</w:t>
      </w:r>
    </w:p>
    <w:p>
      <w:pPr>
        <w:pStyle w:val="Style20"/>
        <w:spacing w:lineRule="exact" w:line="500" w:before="100" w:after="100"/>
        <w:ind w:firstLineChars="0" w:firstLine="0" w:startChars="200" w:endChars="0" w:end="0"/>
        <w:contextualSpacing/>
        <w:rPr>
          <w:sz w:val="21"/>
          <w:szCs w:val="21"/>
        </w:rPr>
      </w:pPr>
      <w:r>
        <w:rPr>
          <w:sz w:val="21"/>
          <w:szCs w:val="21"/>
        </w:rPr>
        <w:t>②</w:t>
      </w:r>
      <w:r>
        <w:rPr>
          <w:rFonts w:hint="eastAsia"/>
          <w:sz w:val="21"/>
          <w:szCs w:val="21"/>
        </w:rPr>
        <w:t xml:space="preserve"> </w:t>
      </w:r>
      <w:r>
        <w:rPr>
          <w:sz w:val="21"/>
          <w:szCs w:val="21"/>
        </w:rPr>
        <w:t>大学本科毕业并获得学士学位满三年，已获得硕士及以上学位者无年限要求。</w:t>
      </w:r>
    </w:p>
    <w:p>
      <w:pPr>
        <w:pStyle w:val="Style20"/>
        <w:spacing w:lineRule="exact" w:line="500" w:before="100" w:after="100"/>
        <w:contextualSpacing/>
        <w:rPr>
          <w:sz w:val="21"/>
          <w:szCs w:val="21"/>
        </w:rPr>
      </w:pPr>
      <w:r>
        <w:rPr>
          <w:sz w:val="21"/>
          <w:szCs w:val="21"/>
        </w:rPr>
        <w:t>　</w:t>
      </w:r>
      <w:r>
        <w:rPr>
          <w:rFonts w:hint="eastAsia"/>
          <w:sz w:val="21"/>
          <w:szCs w:val="21"/>
        </w:rPr>
        <w:t>2</w:t>
      </w:r>
      <w:r>
        <w:rPr>
          <w:sz w:val="21"/>
          <w:szCs w:val="21"/>
        </w:rPr>
        <w:t>、报名手续：</w:t>
      </w:r>
    </w:p>
    <w:p>
      <w:pPr>
        <w:pStyle w:val="Style20"/>
        <w:spacing w:lineRule="exact" w:line="500" w:before="100" w:after="100"/>
        <w:contextualSpacing/>
        <w:rPr>
          <w:rFonts w:hint="eastAsia"/>
          <w:sz w:val="21"/>
          <w:szCs w:val="21"/>
        </w:rPr>
      </w:pPr>
      <w:r>
        <w:rPr>
          <w:sz w:val="21"/>
          <w:szCs w:val="21"/>
        </w:rPr>
        <w:t>　　</w:t>
      </w:r>
      <w:r>
        <w:rPr>
          <w:rFonts w:hint="eastAsia"/>
          <w:sz w:val="21"/>
          <w:szCs w:val="21"/>
        </w:rPr>
        <w:t xml:space="preserve"> </w:t>
      </w:r>
      <w:r>
        <w:rPr>
          <w:sz w:val="21"/>
          <w:szCs w:val="21"/>
        </w:rPr>
        <w:t>①</w:t>
      </w:r>
      <w:r>
        <w:rPr>
          <w:rFonts w:hint="eastAsia"/>
          <w:sz w:val="21"/>
          <w:szCs w:val="21"/>
        </w:rPr>
        <w:t xml:space="preserve"> </w:t>
      </w:r>
      <w:r>
        <w:rPr>
          <w:sz w:val="21"/>
          <w:szCs w:val="21"/>
        </w:rPr>
        <w:t>填写在职课程培训班报名登记表</w:t>
      </w:r>
      <w:r>
        <w:rPr>
          <w:rFonts w:hint="eastAsia"/>
          <w:sz w:val="21"/>
          <w:szCs w:val="21"/>
        </w:rPr>
        <w:t>；</w:t>
      </w:r>
    </w:p>
    <w:p>
      <w:pPr>
        <w:pStyle w:val="Style20"/>
        <w:spacing w:lineRule="exact" w:line="500" w:before="100" w:after="100"/>
        <w:contextualSpacing/>
        <w:rPr>
          <w:sz w:val="21"/>
          <w:szCs w:val="21"/>
        </w:rPr>
      </w:pPr>
      <w:r>
        <w:rPr>
          <w:sz w:val="21"/>
          <w:szCs w:val="21"/>
        </w:rPr>
        <w:t>　　</w:t>
      </w:r>
      <w:r>
        <w:rPr>
          <w:rFonts w:hint="eastAsia"/>
          <w:sz w:val="21"/>
          <w:szCs w:val="21"/>
        </w:rPr>
        <w:t xml:space="preserve"> </w:t>
      </w:r>
      <w:r>
        <w:rPr>
          <w:sz w:val="21"/>
          <w:szCs w:val="21"/>
        </w:rPr>
        <w:t>②</w:t>
      </w:r>
      <w:r>
        <w:rPr>
          <w:rFonts w:hint="eastAsia"/>
          <w:sz w:val="21"/>
          <w:szCs w:val="21"/>
        </w:rPr>
        <w:t xml:space="preserve"> </w:t>
      </w:r>
      <w:r>
        <w:rPr>
          <w:sz w:val="21"/>
          <w:szCs w:val="21"/>
        </w:rPr>
        <w:t>提交学历</w:t>
      </w:r>
      <w:r>
        <w:rPr>
          <w:rFonts w:hint="eastAsia"/>
          <w:sz w:val="21"/>
          <w:szCs w:val="21"/>
        </w:rPr>
        <w:t>证书、</w:t>
      </w:r>
      <w:r>
        <w:rPr>
          <w:sz w:val="21"/>
          <w:szCs w:val="21"/>
        </w:rPr>
        <w:t>学位证书、身份证</w:t>
      </w:r>
      <w:r>
        <w:rPr>
          <w:rFonts w:hint="eastAsia"/>
          <w:sz w:val="21"/>
          <w:szCs w:val="21"/>
        </w:rPr>
        <w:t>正反面以</w:t>
      </w:r>
      <w:r>
        <w:rPr>
          <w:sz w:val="21"/>
          <w:szCs w:val="21"/>
        </w:rPr>
        <w:t>及白底照片</w:t>
      </w:r>
      <w:r>
        <w:rPr>
          <w:rFonts w:hint="eastAsia"/>
          <w:sz w:val="21"/>
          <w:szCs w:val="21"/>
        </w:rPr>
        <w:t>电子版本完成初审</w:t>
      </w:r>
      <w:r>
        <w:rPr>
          <w:sz w:val="21"/>
          <w:szCs w:val="21"/>
        </w:rPr>
        <w:t>。</w:t>
      </w:r>
    </w:p>
    <w:p>
      <w:pPr>
        <w:pStyle w:val="Style20"/>
        <w:spacing w:lineRule="exact" w:line="500" w:before="100" w:after="100"/>
        <w:contextualSpacing/>
        <w:rPr>
          <w:rFonts w:hint="eastAsia"/>
          <w:sz w:val="21"/>
          <w:szCs w:val="21"/>
        </w:rPr>
      </w:pPr>
      <w:r>
        <w:rPr>
          <w:rFonts w:hint="eastAsia"/>
          <w:sz w:val="21"/>
          <w:szCs w:val="21"/>
        </w:rPr>
      </w:r>
    </w:p>
    <w:p>
      <w:pPr>
        <w:pStyle w:val="Style20"/>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0"/>
        <w:spacing w:lineRule="exact" w:line="500" w:before="100" w:after="100"/>
        <w:ind w:firstLine="420" w:end="0"/>
        <w:contextualSpacing/>
        <w:rPr>
          <w:sz w:val="21"/>
          <w:szCs w:val="21"/>
        </w:rPr>
      </w:pPr>
      <w:r>
        <w:rPr>
          <w:sz w:val="21"/>
          <w:szCs w:val="21"/>
        </w:rPr>
        <w:t>在职课程培训班费用</w:t>
      </w:r>
      <w:r>
        <w:rPr>
          <w:sz w:val="21"/>
          <w:szCs w:val="21"/>
        </w:rPr>
        <w:t>3</w:t>
      </w:r>
      <w:r>
        <w:rPr>
          <w:rFonts w:hint="eastAsia"/>
          <w:sz w:val="21"/>
          <w:szCs w:val="21"/>
        </w:rPr>
        <w:t>8</w:t>
      </w:r>
      <w:r>
        <w:rPr>
          <w:sz w:val="21"/>
          <w:szCs w:val="21"/>
        </w:rPr>
        <w:t>000</w:t>
      </w:r>
      <w:r>
        <w:rPr>
          <w:sz w:val="21"/>
          <w:szCs w:val="21"/>
        </w:rPr>
        <w:t>元。</w:t>
      </w:r>
      <w:r>
        <w:rPr>
          <w:sz w:val="21"/>
          <w:szCs w:val="21"/>
        </w:rPr>
        <w:t>(</w:t>
      </w:r>
      <w:r>
        <w:rPr>
          <w:sz w:val="21"/>
          <w:szCs w:val="21"/>
        </w:rPr>
        <w:t>不含教材费</w:t>
      </w:r>
      <w:r>
        <w:rPr>
          <w:sz w:val="21"/>
          <w:szCs w:val="21"/>
        </w:rPr>
        <w:t>)</w:t>
      </w:r>
    </w:p>
    <w:p>
      <w:pPr>
        <w:pStyle w:val="Style20"/>
        <w:spacing w:lineRule="exact" w:line="500" w:before="100" w:after="100"/>
        <w:ind w:firstLine="420" w:end="0"/>
        <w:contextualSpacing/>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0"/>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20"/>
        <w:spacing w:lineRule="exact" w:line="500" w:before="100" w:after="100"/>
        <w:contextualSpacing/>
        <w:rPr>
          <w:sz w:val="21"/>
          <w:szCs w:val="21"/>
        </w:rPr>
      </w:pPr>
      <w:r>
        <w:rPr>
          <w:sz w:val="21"/>
          <w:szCs w:val="21"/>
        </w:rPr>
        <w:t>　</w:t>
      </w:r>
    </w:p>
    <w:p>
      <w:pPr>
        <w:pStyle w:val="Style20"/>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0"/>
        <w:keepNext w:val="false"/>
        <w:keepLines w:val="false"/>
        <w:pageBreakBefore w:val="false"/>
        <w:widowControl/>
        <w:suppressLineNumbers w:val="0"/>
        <w:pBdr/>
        <w:kinsoku w:val="true"/>
        <w:overflowPunct w:val="true"/>
        <w:autoSpaceDE w:val="true"/>
        <w:bidi w:val="0"/>
        <w:snapToGrid w:val="true"/>
        <w:spacing w:lineRule="exact" w:line="500" w:before="0" w:after="0"/>
        <w:ind w:firstLine="420" w:end="0"/>
        <w:jc w:val="both"/>
        <w:textAlignment w:val="auto"/>
        <w:rPr>
          <w:rFonts w:ascii="宋体" w:hAnsi="宋体" w:eastAsia="宋体" w:cs="宋体" w:hint="eastAsia"/>
        </w:rPr>
      </w:pPr>
      <w:r>
        <w:rPr>
          <w:rFonts w:ascii="宋体" w:hAnsi="宋体" w:cs="宋体" w:hint="eastAsia"/>
          <w:i w:val="false"/>
          <w:iCs w:val="false"/>
          <w:caps w:val="false"/>
          <w:smallCaps w:val="false"/>
          <w:spacing w:val="8"/>
          <w:shd w:fill="FFFFFF" w:val="clear"/>
        </w:rPr>
        <w:t>培训结束后，统一由中国人民大学继续教育处颁发《中国人民大学教育培训结业证书》。符合条件即本科有学士学位，可以申请硕士学位。最后取得工学硕士学位（学信网可查）</w:t>
      </w:r>
      <w:r>
        <w:rPr>
          <w:rFonts w:cs="宋体" w:hint="eastAsia"/>
          <w:i w:val="false"/>
          <w:iCs w:val="false"/>
          <w:caps w:val="false"/>
          <w:smallCaps w:val="false"/>
          <w:spacing w:val="8"/>
          <w:shd w:fill="FFFFFF" w:val="clear"/>
        </w:rPr>
        <w:t>。</w:t>
      </w:r>
    </w:p>
    <w:p>
      <w:pPr>
        <w:pStyle w:val="Style20"/>
        <w:spacing w:lineRule="exact" w:line="500" w:before="100" w:after="100"/>
        <w:ind w:firstLine="420" w:end="0"/>
        <w:contextualSpacing/>
        <w:rPr>
          <w:rFonts w:hint="eastAsia"/>
          <w:sz w:val="21"/>
          <w:szCs w:val="21"/>
        </w:rPr>
      </w:pPr>
      <w:r>
        <w:rPr>
          <w:rFonts w:eastAsia="宋体" w:cs="宋体"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MjJkYmYyOGQwNjU2YTFjYjBlYWQzZDdlZjc2Nzk1ZWY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5">
    <w:name w:val="heading 5"/>
    <w:basedOn w:val="Normal"/>
    <w:next w:val="Normal"/>
    <w:qFormat/>
    <w:pPr>
      <w:numPr>
        <w:ilvl w:val="4"/>
        <w:numId w:val="1"/>
      </w:numPr>
      <w:spacing w:before="100" w:after="100"/>
      <w:jc w:val="start"/>
      <w:outlineLvl w:val="4"/>
    </w:pPr>
    <w:rPr>
      <w:rFonts w:ascii="宋体" w:hAnsi="宋体" w:eastAsia="宋体" w:cs="宋体" w:hint="eastAsia"/>
      <w:b/>
      <w:bCs/>
      <w:kern w:val="0"/>
      <w:sz w:val="20"/>
      <w:szCs w:val="20"/>
      <w:lang w:bidi="ar"/>
    </w:rPr>
  </w:style>
  <w:style w:type="paragraph" w:styleId="Heading6">
    <w:name w:val="heading 6"/>
    <w:basedOn w:val="Normal"/>
    <w:next w:val="Normal"/>
    <w:qFormat/>
    <w:pPr>
      <w:numPr>
        <w:ilvl w:val="5"/>
        <w:numId w:val="1"/>
      </w:numPr>
      <w:spacing w:before="100" w:after="100"/>
      <w:jc w:val="start"/>
      <w:outlineLvl w:val="5"/>
    </w:pPr>
    <w:rPr>
      <w:rFonts w:ascii="宋体" w:hAnsi="宋体" w:cs="宋体"/>
      <w:b/>
      <w:kern w:val="0"/>
      <w:sz w:val="15"/>
      <w:szCs w:val="15"/>
    </w:rPr>
  </w:style>
  <w:style w:type="character" w:styleId="Style12">
    <w:name w:val="默认段落字体"/>
    <w:qFormat/>
    <w:rPr/>
  </w:style>
  <w:style w:type="character" w:styleId="6">
    <w:name w:val="标题 6 字符"/>
    <w:qFormat/>
    <w:rPr>
      <w:rFonts w:ascii="宋体" w:hAnsi="宋体" w:cs="宋体"/>
      <w:b/>
      <w:sz w:val="15"/>
      <w:szCs w:val="15"/>
    </w:rPr>
  </w:style>
  <w:style w:type="character" w:styleId="Style13">
    <w:name w:val="批注框文本 字符"/>
    <w:qFormat/>
    <w:rPr>
      <w:sz w:val="18"/>
      <w:szCs w:val="18"/>
    </w:rPr>
  </w:style>
  <w:style w:type="character" w:styleId="Style14">
    <w:name w:val="页脚 字符"/>
    <w:qFormat/>
    <w:rPr>
      <w:sz w:val="18"/>
      <w:szCs w:val="18"/>
    </w:rPr>
  </w:style>
  <w:style w:type="character" w:styleId="Style15">
    <w:name w:val="页眉 字符"/>
    <w:qFormat/>
    <w:rPr>
      <w:sz w:val="18"/>
      <w:szCs w:val="18"/>
    </w:rPr>
  </w:style>
  <w:style w:type="character" w:styleId="Hyperlink">
    <w:name w:val="Hyperlink"/>
    <w:rPr>
      <w:color w:val="0563C1"/>
      <w:u w:val="single"/>
    </w:rPr>
  </w:style>
  <w:style w:type="paragraph" w:styleId="Style16">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索引"/>
    <w:basedOn w:val="Normal"/>
    <w:qFormat/>
    <w:pPr>
      <w:suppressLineNumbers/>
    </w:pPr>
    <w:rPr>
      <w:rFonts w:cs="Lucida Sans"/>
    </w:rPr>
  </w:style>
  <w:style w:type="paragraph" w:styleId="Style18">
    <w:name w:val="批注框文本"/>
    <w:basedOn w:val="Normal"/>
    <w:qFormat/>
    <w:pPr/>
    <w:rPr>
      <w:kern w:val="0"/>
      <w:sz w:val="18"/>
      <w:szCs w:val="18"/>
    </w:rPr>
  </w:style>
  <w:style w:type="paragraph" w:styleId="Style19">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0">
    <w:name w:val="普通(网站)"/>
    <w:basedOn w:val="Normal"/>
    <w:qFormat/>
    <w:pPr>
      <w:widowControl/>
      <w:spacing w:before="100" w:after="100"/>
      <w:jc w:val="start"/>
    </w:pPr>
    <w:rPr>
      <w:rFonts w:ascii="宋体" w:hAnsi="宋体" w:eastAsia="宋体" w:cs="宋体"/>
      <w:kern w:val="0"/>
      <w:sz w:val="24"/>
      <w:szCs w:val="24"/>
    </w:rPr>
  </w:style>
  <w:style w:type="paragraph" w:styleId="Style21">
    <w:name w:val="表格内容"/>
    <w:basedOn w:val="Normal"/>
    <w:qFormat/>
    <w:pPr>
      <w:widowControl w:val="false"/>
      <w:suppressLineNumbers/>
    </w:pPr>
    <w:rPr/>
  </w:style>
  <w:style w:type="paragraph" w:styleId="Style22">
    <w:name w:val="表格标题"/>
    <w:basedOn w:val="Style21"/>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dc:language>zh-CN</dc:language>
  <cp:lastModifiedBy>Administrator</cp:lastModifiedBy>
  <dcterms:modified xsi:type="dcterms:W3CDTF">2026-01-16T16:54:34Z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0CD2BD8534144AD080F396E5DDC6A686_13</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ies>
</file>