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contextualSpacing/>
        <w:jc w:val="center"/>
        <w:rPr>
          <w:b/>
          <w:bCs/>
          <w:sz w:val="30"/>
          <w:szCs w:val="30"/>
        </w:rPr>
      </w:pPr>
      <w:r>
        <w:rPr>
          <w:b/>
          <w:bCs/>
          <w:sz w:val="30"/>
          <w:szCs w:val="30"/>
        </w:rPr>
        <w:t>202</w:t>
      </w:r>
      <w:r>
        <w:rPr>
          <w:rFonts w:hint="eastAsia"/>
          <w:b/>
          <w:bCs/>
          <w:sz w:val="30"/>
          <w:szCs w:val="30"/>
        </w:rPr>
        <w:t>5</w:t>
      </w:r>
      <w:r>
        <w:rPr>
          <w:b/>
          <w:bCs/>
          <w:sz w:val="30"/>
          <w:szCs w:val="30"/>
        </w:rPr>
        <w:t>年中国人民大学教育学院教育经济与管理专业</w:t>
      </w:r>
    </w:p>
    <w:p>
      <w:pPr>
        <w:pStyle w:val="Style21"/>
        <w:spacing w:lineRule="exact" w:line="500" w:before="100" w:after="100"/>
        <w:contextualSpacing/>
        <w:jc w:val="center"/>
        <w:rPr>
          <w:b/>
          <w:bCs/>
          <w:sz w:val="30"/>
          <w:szCs w:val="30"/>
        </w:rPr>
      </w:pPr>
      <w:r>
        <w:rPr>
          <w:b/>
          <w:bCs/>
          <w:sz w:val="30"/>
          <w:szCs w:val="30"/>
        </w:rPr>
        <w:t>在职课程培训班</w:t>
      </w:r>
    </w:p>
    <w:p>
      <w:pPr>
        <w:pStyle w:val="Style21"/>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管理</w:t>
      </w:r>
      <w:r>
        <w:rPr>
          <w:color w:val="C00000"/>
          <w:sz w:val="21"/>
          <w:szCs w:val="21"/>
        </w:rPr>
        <w:t>]</w:t>
      </w:r>
      <w:r>
        <w:rPr>
          <w:sz w:val="21"/>
          <w:szCs w:val="21"/>
        </w:rPr>
        <w:t xml:space="preserve">      </w:t>
      </w:r>
      <w:r>
        <w:rPr>
          <w:sz w:val="21"/>
          <w:szCs w:val="21"/>
        </w:rPr>
        <w:t>培训费：</w:t>
      </w:r>
      <w:r>
        <w:rPr>
          <w:rFonts w:hint="eastAsia"/>
          <w:color w:val="C00000"/>
          <w:sz w:val="21"/>
          <w:szCs w:val="21"/>
        </w:rPr>
        <w:t>380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教育</w:t>
      </w:r>
      <w:r>
        <w:rPr>
          <w:color w:val="C00000"/>
          <w:sz w:val="21"/>
          <w:szCs w:val="21"/>
        </w:rPr>
        <w:t>学院</w:t>
      </w:r>
    </w:p>
    <w:p>
      <w:pPr>
        <w:pStyle w:val="Style21"/>
        <w:spacing w:lineRule="exact" w:line="500"/>
        <w:ind w:firstLineChars="200" w:startChars="0" w:start="0" w:endChars="0" w:end="0"/>
        <w:rPr>
          <w:kern w:val="2"/>
          <w:sz w:val="21"/>
          <w:szCs w:val="21"/>
        </w:rPr>
      </w:pPr>
      <w:r>
        <w:rPr>
          <w:kern w:val="2"/>
          <w:sz w:val="21"/>
          <w:szCs w:val="21"/>
        </w:rPr>
        <w:t>中国人民大学是中国共产党创办的第一所新型正规大学，是一所以人文社会科学为主的综合性研究型全国重点大学。中国人民大学前身是</w:t>
      </w:r>
      <w:r>
        <w:rPr>
          <w:kern w:val="2"/>
          <w:sz w:val="21"/>
          <w:szCs w:val="21"/>
        </w:rPr>
        <w:t>1937</w:t>
      </w:r>
      <w:r>
        <w:rPr>
          <w:kern w:val="2"/>
          <w:sz w:val="21"/>
          <w:szCs w:val="21"/>
        </w:rPr>
        <w:t>年诞生于抗日战争烽火中的陕北公学，以及后来的华北联合大学和北方大学、华北大学。学校始终与党和国家同呼吸、共命运，始终得到党中央的亲切关怀和高度重视。建校以来，中国人民大学始终坚持党的领导，传承红色基因，扎根中国大地，形成了“人民共和国建设者”的摇篮、人文社会科学高等教育的重镇、马克思主义教学与研究的高地三大办学特色，为我国哲学社会科学的发展和繁荣，为中国特色社会主义现代化建设事业作出了重要贡献，成为中国共产党探索创办新型高等教育，扎根中国大地办大学的典范和缩影，被誉为我国人文社会科学高等教育领域的一面旗帜。从</w:t>
      </w:r>
      <w:r>
        <w:rPr>
          <w:kern w:val="2"/>
          <w:sz w:val="21"/>
          <w:szCs w:val="21"/>
        </w:rPr>
        <w:t>1950</w:t>
      </w:r>
      <w:r>
        <w:rPr>
          <w:kern w:val="2"/>
          <w:sz w:val="21"/>
          <w:szCs w:val="21"/>
        </w:rPr>
        <w:t>年至今，国家历次确立重点大学，中国人民大学均位居其中。学校是国家首批“</w:t>
      </w:r>
      <w:r>
        <w:rPr>
          <w:kern w:val="2"/>
          <w:sz w:val="21"/>
          <w:szCs w:val="21"/>
        </w:rPr>
        <w:t>985</w:t>
      </w:r>
      <w:r>
        <w:rPr>
          <w:kern w:val="2"/>
          <w:sz w:val="21"/>
          <w:szCs w:val="21"/>
        </w:rPr>
        <w:t>工程”“</w:t>
      </w:r>
      <w:r>
        <w:rPr>
          <w:kern w:val="2"/>
          <w:sz w:val="21"/>
          <w:szCs w:val="21"/>
        </w:rPr>
        <w:t>211</w:t>
      </w:r>
      <w:r>
        <w:rPr>
          <w:kern w:val="2"/>
          <w:sz w:val="21"/>
          <w:szCs w:val="21"/>
        </w:rPr>
        <w:t>工程”重点建设大学，</w:t>
      </w:r>
      <w:r>
        <w:rPr>
          <w:kern w:val="2"/>
          <w:sz w:val="21"/>
          <w:szCs w:val="21"/>
        </w:rPr>
        <w:t>2017</w:t>
      </w:r>
      <w:r>
        <w:rPr>
          <w:kern w:val="2"/>
          <w:sz w:val="21"/>
          <w:szCs w:val="21"/>
        </w:rPr>
        <w:t>年首批入选国家“世界一流大学和一流学科”建设名单。</w:t>
      </w:r>
    </w:p>
    <w:p>
      <w:pPr>
        <w:pStyle w:val="Style21"/>
        <w:spacing w:lineRule="exact" w:line="500" w:before="100" w:after="100"/>
        <w:contextualSpacing/>
        <w:rPr>
          <w:kern w:val="2"/>
          <w:sz w:val="21"/>
          <w:szCs w:val="21"/>
        </w:rPr>
      </w:pPr>
      <w:r>
        <w:rPr>
          <w:kern w:val="2"/>
          <w:sz w:val="21"/>
          <w:szCs w:val="21"/>
        </w:rPr>
      </w:r>
    </w:p>
    <w:p>
      <w:pPr>
        <w:pStyle w:val="Style21"/>
        <w:spacing w:lineRule="exact" w:line="500" w:before="100" w:after="100"/>
        <w:contextualSpacing/>
        <w:rPr>
          <w:b/>
          <w:color w:val="C00000"/>
          <w:sz w:val="21"/>
          <w:szCs w:val="21"/>
        </w:rPr>
      </w:pPr>
      <w:r>
        <w:rPr>
          <w:rFonts w:hint="eastAsia"/>
          <w:kern w:val="2"/>
          <w:sz w:val="21"/>
          <w:szCs w:val="21"/>
        </w:rPr>
        <w:t>一、</w:t>
      </w:r>
      <w:r>
        <w:rPr>
          <w:b/>
          <w:color w:val="C00000"/>
          <w:sz w:val="21"/>
          <w:szCs w:val="21"/>
        </w:rPr>
        <w:t>学院及专业优势简介</w:t>
      </w:r>
    </w:p>
    <w:p>
      <w:pPr>
        <w:pStyle w:val="Style21"/>
        <w:spacing w:lineRule="exact" w:line="500"/>
        <w:ind w:firstLineChars="200" w:startChars="0" w:start="0" w:endChars="0" w:end="0"/>
        <w:rPr>
          <w:sz w:val="21"/>
          <w:szCs w:val="21"/>
        </w:rPr>
      </w:pPr>
      <w:r>
        <w:rPr>
          <w:sz w:val="21"/>
          <w:szCs w:val="21"/>
        </w:rPr>
        <w:t>中国人民大学的教育研究和人才培养发端于建校之初的陕北公学。</w:t>
      </w:r>
      <w:r>
        <w:rPr>
          <w:sz w:val="21"/>
          <w:szCs w:val="21"/>
        </w:rPr>
        <w:t>20</w:t>
      </w:r>
      <w:r>
        <w:rPr>
          <w:sz w:val="21"/>
          <w:szCs w:val="21"/>
        </w:rPr>
        <w:t>世纪</w:t>
      </w:r>
      <w:r>
        <w:rPr>
          <w:sz w:val="21"/>
          <w:szCs w:val="21"/>
        </w:rPr>
        <w:t>40</w:t>
      </w:r>
      <w:r>
        <w:rPr>
          <w:sz w:val="21"/>
          <w:szCs w:val="21"/>
        </w:rPr>
        <w:t>年代，中国人民大学的前身华北联合大学和华北大学都设有教育系。中国人民大学成立后，</w:t>
      </w:r>
      <w:r>
        <w:rPr>
          <w:sz w:val="21"/>
          <w:szCs w:val="21"/>
        </w:rPr>
        <w:t>50</w:t>
      </w:r>
      <w:r>
        <w:rPr>
          <w:sz w:val="21"/>
          <w:szCs w:val="21"/>
        </w:rPr>
        <w:t>年代设专修科教育班，培养了一大批杰出人才，为马克思主义教育理论在中国的传播与研究做出了突出贡献。</w:t>
      </w:r>
      <w:r>
        <w:rPr>
          <w:sz w:val="21"/>
          <w:szCs w:val="21"/>
        </w:rPr>
        <w:t>1952</w:t>
      </w:r>
      <w:r>
        <w:rPr>
          <w:sz w:val="21"/>
          <w:szCs w:val="21"/>
        </w:rPr>
        <w:t>年根据教育部决定，中国人民大学教育学教研室连同专修科教育班整体并入北京师范大学。上世纪末以来，中国人民大学逐步重建了教育学科：</w:t>
      </w:r>
      <w:r>
        <w:rPr>
          <w:sz w:val="21"/>
          <w:szCs w:val="21"/>
        </w:rPr>
        <w:t>1999</w:t>
      </w:r>
      <w:r>
        <w:rPr>
          <w:sz w:val="21"/>
          <w:szCs w:val="21"/>
        </w:rPr>
        <w:t>年设立教育科学研究所（后改称教育研究所）；</w:t>
      </w:r>
      <w:r>
        <w:rPr>
          <w:sz w:val="21"/>
          <w:szCs w:val="21"/>
        </w:rPr>
        <w:t>2005</w:t>
      </w:r>
      <w:r>
        <w:rPr>
          <w:sz w:val="21"/>
          <w:szCs w:val="21"/>
        </w:rPr>
        <w:t>年设立高等教育研究室；</w:t>
      </w:r>
      <w:r>
        <w:rPr>
          <w:sz w:val="21"/>
          <w:szCs w:val="21"/>
        </w:rPr>
        <w:t>2011</w:t>
      </w:r>
      <w:r>
        <w:rPr>
          <w:sz w:val="21"/>
          <w:szCs w:val="21"/>
        </w:rPr>
        <w:t>年</w:t>
      </w:r>
      <w:r>
        <w:rPr>
          <w:sz w:val="21"/>
          <w:szCs w:val="21"/>
        </w:rPr>
        <w:t>4</w:t>
      </w:r>
      <w:r>
        <w:rPr>
          <w:sz w:val="21"/>
          <w:szCs w:val="21"/>
        </w:rPr>
        <w:t>月，在教育研究所和高等教育研究室的基础上组建中国人民大学教育学院，负责全校教育相关学科的规划与建设，开展相关学术领域的人才培养和科学研究活动，以“高起点、高水平、重交叉”为原则，进一步提高中国人民大学在教育学术领域的教学科研水平和竞争力。</w:t>
      </w:r>
    </w:p>
    <w:p>
      <w:pPr>
        <w:pStyle w:val="Style21"/>
        <w:spacing w:lineRule="exact" w:line="500"/>
        <w:ind w:firstLineChars="200" w:startChars="0" w:start="0" w:endChars="0" w:end="0"/>
        <w:rPr>
          <w:sz w:val="21"/>
          <w:szCs w:val="21"/>
        </w:rPr>
      </w:pPr>
      <w:r>
        <w:rPr>
          <w:sz w:val="21"/>
          <w:szCs w:val="21"/>
        </w:rPr>
        <w:t>在中国人民大学建设世界一流大学的总体规划指导下，教育学院始终秉承“学术立院、人才强院、特色兴院、制度建院”的宗旨，以学科建设为龙头，将人才培养、科学研究与社会服务有机融合、相互促进，积极探索中国特色社会主义教育理论，推动我国教育事业的科学发展，始终奋进在时代前列！</w:t>
      </w:r>
    </w:p>
    <w:p>
      <w:pPr>
        <w:pStyle w:val="Style21"/>
        <w:spacing w:lineRule="auto" w:line="360"/>
        <w:rPr>
          <w:sz w:val="21"/>
          <w:szCs w:val="21"/>
        </w:rPr>
      </w:pPr>
      <w:r>
        <w:rPr>
          <w:sz w:val="21"/>
          <w:szCs w:val="21"/>
        </w:rPr>
      </w:r>
    </w:p>
    <w:p>
      <w:pPr>
        <w:pStyle w:val="Style21"/>
        <w:numPr>
          <w:ilvl w:val="0"/>
          <w:numId w:val="2"/>
        </w:numPr>
        <w:spacing w:lineRule="exact" w:line="500" w:before="100" w:after="280"/>
        <w:rPr>
          <w:rFonts w:hint="eastAsia"/>
          <w:b/>
          <w:color w:val="C00000"/>
          <w:sz w:val="21"/>
          <w:szCs w:val="21"/>
        </w:rPr>
      </w:pPr>
      <w:r>
        <w:rPr>
          <w:rFonts w:hint="eastAsia"/>
          <w:b/>
          <w:color w:val="C00000"/>
          <w:sz w:val="21"/>
          <w:szCs w:val="21"/>
        </w:rPr>
        <w:t>课程安排</w:t>
      </w:r>
    </w:p>
    <w:tbl>
      <w:tblPr>
        <w:tblW w:w="9118" w:type="dxa"/>
        <w:jc w:val="start"/>
        <w:tblInd w:w="0" w:type="dxa"/>
        <w:tblLayout w:type="fixed"/>
        <w:tblCellMar>
          <w:top w:w="15" w:type="dxa"/>
          <w:start w:w="15" w:type="dxa"/>
          <w:bottom w:w="15" w:type="dxa"/>
          <w:end w:w="15" w:type="dxa"/>
        </w:tblCellMar>
      </w:tblPr>
      <w:tblGrid>
        <w:gridCol w:w="1501"/>
        <w:gridCol w:w="3855"/>
        <w:gridCol w:w="3762"/>
      </w:tblGrid>
      <w:tr>
        <w:trPr>
          <w:trHeight w:val="642" w:hRule="atLeast"/>
        </w:trPr>
        <w:tc>
          <w:tcPr>
            <w:tcW w:w="9118" w:type="dxa"/>
            <w:gridSpan w:val="3"/>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b/>
                <w:bCs/>
                <w:sz w:val="21"/>
                <w:szCs w:val="21"/>
              </w:rPr>
              <w:t>教育经济与管理专业课程设置</w:t>
            </w:r>
          </w:p>
        </w:tc>
      </w:tr>
      <w:tr>
        <w:trPr>
          <w:trHeight w:val="642" w:hRule="atLeast"/>
        </w:trPr>
        <w:tc>
          <w:tcPr>
            <w:tcW w:w="1501" w:type="dxa"/>
            <w:vMerge w:val="restart"/>
            <w:tcBorders>
              <w:top w:val="single" w:sz="6" w:space="0" w:color="999999"/>
              <w:start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核心</w:t>
            </w:r>
          </w:p>
          <w:p>
            <w:pPr>
              <w:pStyle w:val="Style21"/>
              <w:spacing w:lineRule="atLeast" w:line="450" w:before="0" w:after="0"/>
              <w:jc w:val="center"/>
              <w:rPr>
                <w:rFonts w:hint="eastAsia"/>
                <w:sz w:val="21"/>
                <w:szCs w:val="21"/>
              </w:rPr>
            </w:pPr>
            <w:r>
              <w:rPr>
                <w:rFonts w:hint="eastAsia"/>
                <w:sz w:val="21"/>
                <w:szCs w:val="21"/>
              </w:rPr>
              <w:t>课程</w:t>
            </w:r>
          </w:p>
          <w:p>
            <w:pPr>
              <w:pStyle w:val="Style21"/>
              <w:spacing w:lineRule="atLeast" w:line="450" w:before="0" w:after="0"/>
              <w:jc w:val="center"/>
              <w:rPr>
                <w:rFonts w:hint="eastAsia"/>
                <w:sz w:val="21"/>
                <w:szCs w:val="21"/>
              </w:rPr>
            </w:pPr>
            <w:r>
              <w:rPr>
                <w:rFonts w:hint="eastAsia"/>
                <w:sz w:val="21"/>
                <w:szCs w:val="21"/>
              </w:rPr>
            </w:r>
          </w:p>
        </w:tc>
        <w:tc>
          <w:tcPr>
            <w:tcW w:w="3855"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公共经济学</w:t>
            </w:r>
          </w:p>
        </w:tc>
        <w:tc>
          <w:tcPr>
            <w:tcW w:w="3762"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教育的历史与哲学基础</w:t>
            </w:r>
          </w:p>
        </w:tc>
      </w:tr>
      <w:tr>
        <w:trPr>
          <w:trHeight w:val="642" w:hRule="atLeast"/>
        </w:trPr>
        <w:tc>
          <w:tcPr>
            <w:tcW w:w="1501" w:type="dxa"/>
            <w:vMerge w:val="continue"/>
            <w:tcBorders>
              <w:top w:val="single" w:sz="6" w:space="0" w:color="999999"/>
              <w:start w:val="single" w:sz="6" w:space="0" w:color="999999"/>
              <w:end w:val="single" w:sz="6" w:space="0" w:color="999999"/>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教育社会学</w:t>
            </w:r>
          </w:p>
        </w:tc>
        <w:tc>
          <w:tcPr>
            <w:tcW w:w="3762"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新时代中国特色社会主义理论与实践</w:t>
            </w:r>
          </w:p>
        </w:tc>
      </w:tr>
      <w:tr>
        <w:trPr>
          <w:trHeight w:val="642" w:hRule="atLeast"/>
        </w:trPr>
        <w:tc>
          <w:tcPr>
            <w:tcW w:w="1501" w:type="dxa"/>
            <w:vMerge w:val="continue"/>
            <w:tcBorders>
              <w:top w:val="single" w:sz="6" w:space="0" w:color="999999"/>
              <w:start w:val="single" w:sz="6" w:space="0" w:color="999999"/>
              <w:end w:val="single" w:sz="6" w:space="0" w:color="999999"/>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质的研究方法</w:t>
            </w:r>
          </w:p>
        </w:tc>
        <w:tc>
          <w:tcPr>
            <w:tcW w:w="3762"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教育定量研究方法</w:t>
            </w:r>
          </w:p>
        </w:tc>
      </w:tr>
      <w:tr>
        <w:trPr>
          <w:trHeight w:val="642" w:hRule="atLeast"/>
        </w:trPr>
        <w:tc>
          <w:tcPr>
            <w:tcW w:w="1501" w:type="dxa"/>
            <w:vMerge w:val="continue"/>
            <w:tcBorders>
              <w:top w:val="single" w:sz="6" w:space="0" w:color="999999"/>
              <w:start w:val="single" w:sz="6" w:space="0" w:color="999999"/>
              <w:end w:val="single" w:sz="6" w:space="0" w:color="999999"/>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学术规范和论文写作</w:t>
            </w:r>
          </w:p>
        </w:tc>
        <w:tc>
          <w:tcPr>
            <w:tcW w:w="3762"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sz w:val="21"/>
                <w:szCs w:val="21"/>
              </w:rPr>
            </w:pPr>
            <w:r>
              <w:rPr>
                <w:rFonts w:hint="eastAsia"/>
                <w:sz w:val="21"/>
                <w:szCs w:val="21"/>
              </w:rPr>
              <w:t>教育管理学</w:t>
            </w:r>
          </w:p>
        </w:tc>
      </w:tr>
      <w:tr>
        <w:trPr>
          <w:trHeight w:val="642" w:hRule="atLeast"/>
        </w:trPr>
        <w:tc>
          <w:tcPr>
            <w:tcW w:w="1501" w:type="dxa"/>
            <w:vMerge w:val="continue"/>
            <w:tcBorders>
              <w:top w:val="single" w:sz="6" w:space="0" w:color="999999"/>
              <w:start w:val="single" w:sz="6" w:space="0" w:color="999999"/>
              <w:end w:val="single" w:sz="6" w:space="0" w:color="999999"/>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教育财政学</w:t>
            </w:r>
          </w:p>
        </w:tc>
        <w:tc>
          <w:tcPr>
            <w:tcW w:w="3762"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教育经济学</w:t>
            </w:r>
          </w:p>
        </w:tc>
      </w:tr>
      <w:tr>
        <w:trPr>
          <w:trHeight w:val="642" w:hRule="atLeast"/>
        </w:trPr>
        <w:tc>
          <w:tcPr>
            <w:tcW w:w="1501" w:type="dxa"/>
            <w:vMerge w:val="continue"/>
            <w:tcBorders>
              <w:top w:val="single" w:sz="6" w:space="0" w:color="999999"/>
              <w:start w:val="single" w:sz="6" w:space="0" w:color="999999"/>
              <w:end w:val="single" w:sz="6" w:space="0" w:color="999999"/>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教育政策的经济分析</w:t>
            </w:r>
          </w:p>
        </w:tc>
        <w:tc>
          <w:tcPr>
            <w:tcW w:w="3762"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教育管理与法治</w:t>
            </w:r>
          </w:p>
        </w:tc>
      </w:tr>
      <w:tr>
        <w:trPr>
          <w:trHeight w:val="642" w:hRule="atLeast"/>
        </w:trPr>
        <w:tc>
          <w:tcPr>
            <w:tcW w:w="1501" w:type="dxa"/>
            <w:vMerge w:val="continue"/>
            <w:tcBorders>
              <w:top w:val="single" w:sz="6" w:space="0" w:color="999999"/>
              <w:start w:val="single" w:sz="6" w:space="0" w:color="999999"/>
              <w:end w:val="single" w:sz="6" w:space="0" w:color="999999"/>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语言基础</w:t>
            </w:r>
          </w:p>
        </w:tc>
        <w:tc>
          <w:tcPr>
            <w:tcW w:w="3762"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马克思主义与社会科学方法论</w:t>
            </w:r>
          </w:p>
        </w:tc>
      </w:tr>
      <w:tr>
        <w:trPr>
          <w:trHeight w:val="642" w:hRule="atLeast"/>
        </w:trPr>
        <w:tc>
          <w:tcPr>
            <w:tcW w:w="1501" w:type="dxa"/>
            <w:vMerge w:val="continue"/>
            <w:tcBorders>
              <w:top w:val="single" w:sz="6" w:space="0" w:color="999999"/>
              <w:start w:val="single" w:sz="6" w:space="0" w:color="999999"/>
              <w:end w:val="single" w:sz="6" w:space="0" w:color="999999"/>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教育法学</w:t>
            </w:r>
          </w:p>
        </w:tc>
        <w:tc>
          <w:tcPr>
            <w:tcW w:w="3762"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教育领导学</w:t>
            </w:r>
          </w:p>
        </w:tc>
      </w:tr>
      <w:tr>
        <w:trPr>
          <w:trHeight w:val="642" w:hRule="atLeast"/>
        </w:trPr>
        <w:tc>
          <w:tcPr>
            <w:tcW w:w="1501" w:type="dxa"/>
            <w:vMerge w:val="restart"/>
            <w:tcBorders>
              <w:top w:val="single" w:sz="6" w:space="0" w:color="999999"/>
              <w:start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 xml:space="preserve"> </w:t>
            </w:r>
            <w:r>
              <w:rPr>
                <w:rFonts w:hint="eastAsia"/>
                <w:sz w:val="21"/>
                <w:szCs w:val="21"/>
              </w:rPr>
              <w:t>跨专业选修</w:t>
            </w:r>
          </w:p>
          <w:p>
            <w:pPr>
              <w:pStyle w:val="Style21"/>
              <w:spacing w:lineRule="atLeast" w:line="450" w:before="0" w:after="0"/>
              <w:jc w:val="center"/>
              <w:rPr>
                <w:rFonts w:hint="eastAsia"/>
                <w:sz w:val="21"/>
                <w:szCs w:val="21"/>
              </w:rPr>
            </w:pPr>
            <w:r>
              <w:rPr>
                <w:rFonts w:hint="eastAsia"/>
                <w:sz w:val="21"/>
                <w:szCs w:val="21"/>
              </w:rPr>
              <w:t>课程</w:t>
            </w:r>
          </w:p>
        </w:tc>
        <w:tc>
          <w:tcPr>
            <w:tcW w:w="3855"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课程与学生发展</w:t>
            </w:r>
          </w:p>
        </w:tc>
        <w:tc>
          <w:tcPr>
            <w:tcW w:w="3762"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公共</w:t>
            </w:r>
            <w:r>
              <w:rPr>
                <w:rFonts w:hint="eastAsia"/>
                <w:sz w:val="21"/>
                <w:szCs w:val="21"/>
              </w:rPr>
              <w:t>(</w:t>
            </w:r>
            <w:r>
              <w:rPr>
                <w:rFonts w:hint="eastAsia"/>
                <w:sz w:val="21"/>
                <w:szCs w:val="21"/>
              </w:rPr>
              <w:t>教育</w:t>
            </w:r>
            <w:r>
              <w:rPr>
                <w:rFonts w:hint="eastAsia"/>
                <w:sz w:val="21"/>
                <w:szCs w:val="21"/>
              </w:rPr>
              <w:t>)</w:t>
            </w:r>
            <w:r>
              <w:rPr>
                <w:rFonts w:hint="eastAsia"/>
                <w:sz w:val="21"/>
                <w:szCs w:val="21"/>
              </w:rPr>
              <w:t>政策分析</w:t>
            </w:r>
          </w:p>
        </w:tc>
      </w:tr>
      <w:tr>
        <w:trPr>
          <w:trHeight w:val="619" w:hRule="atLeast"/>
        </w:trPr>
        <w:tc>
          <w:tcPr>
            <w:tcW w:w="1501" w:type="dxa"/>
            <w:vMerge w:val="continue"/>
            <w:tcBorders>
              <w:top w:val="single" w:sz="6" w:space="0" w:color="999999"/>
              <w:start w:val="single" w:sz="6" w:space="0" w:color="999999"/>
              <w:end w:val="single" w:sz="6" w:space="0" w:color="999999"/>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教育文化学</w:t>
            </w:r>
          </w:p>
        </w:tc>
        <w:tc>
          <w:tcPr>
            <w:tcW w:w="3762" w:type="dxa"/>
            <w:tcBorders>
              <w:top w:val="single" w:sz="6" w:space="0" w:color="999999"/>
              <w:start w:val="single" w:sz="6" w:space="0" w:color="999999"/>
              <w:bottom w:val="single" w:sz="6" w:space="0" w:color="999999"/>
              <w:end w:val="single" w:sz="6" w:space="0" w:color="999999"/>
            </w:tcBorders>
            <w:vAlign w:val="center"/>
          </w:tcPr>
          <w:p>
            <w:pPr>
              <w:pStyle w:val="Style21"/>
              <w:snapToGrid w:val="false"/>
              <w:spacing w:lineRule="atLeast" w:line="450" w:before="0" w:after="0"/>
              <w:jc w:val="center"/>
              <w:rPr>
                <w:rFonts w:hint="eastAsia"/>
                <w:sz w:val="21"/>
                <w:szCs w:val="21"/>
              </w:rPr>
            </w:pPr>
            <w:r>
              <w:rPr>
                <w:rFonts w:hint="eastAsia"/>
                <w:sz w:val="21"/>
                <w:szCs w:val="21"/>
              </w:rPr>
            </w:r>
          </w:p>
        </w:tc>
      </w:tr>
      <w:tr>
        <w:trPr>
          <w:trHeight w:val="642" w:hRule="atLeast"/>
        </w:trPr>
        <w:tc>
          <w:tcPr>
            <w:tcW w:w="1501" w:type="dxa"/>
            <w:vMerge w:val="restart"/>
            <w:tcBorders>
              <w:top w:val="single" w:sz="6" w:space="0" w:color="999999"/>
              <w:start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心理学方向专题课程</w:t>
            </w:r>
          </w:p>
          <w:p>
            <w:pPr>
              <w:pStyle w:val="Style21"/>
              <w:spacing w:lineRule="atLeast" w:line="450" w:before="0" w:after="0"/>
              <w:jc w:val="center"/>
              <w:rPr>
                <w:rFonts w:hint="eastAsia"/>
                <w:sz w:val="21"/>
                <w:szCs w:val="21"/>
              </w:rPr>
            </w:pPr>
            <w:r>
              <w:rPr>
                <w:rFonts w:hint="eastAsia"/>
                <w:sz w:val="21"/>
                <w:szCs w:val="21"/>
              </w:rPr>
            </w:r>
          </w:p>
        </w:tc>
        <w:tc>
          <w:tcPr>
            <w:tcW w:w="3855"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心理健康教育专题</w:t>
            </w:r>
          </w:p>
        </w:tc>
        <w:tc>
          <w:tcPr>
            <w:tcW w:w="3762"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心理学基础</w:t>
            </w:r>
          </w:p>
        </w:tc>
      </w:tr>
      <w:tr>
        <w:trPr>
          <w:trHeight w:val="642" w:hRule="atLeast"/>
        </w:trPr>
        <w:tc>
          <w:tcPr>
            <w:tcW w:w="1501" w:type="dxa"/>
            <w:vMerge w:val="continue"/>
            <w:tcBorders>
              <w:top w:val="single" w:sz="6" w:space="0" w:color="999999"/>
              <w:start w:val="single" w:sz="6" w:space="0" w:color="999999"/>
              <w:end w:val="single" w:sz="6" w:space="0" w:color="999999"/>
            </w:tcBorders>
            <w:vAlign w:val="center"/>
          </w:tcPr>
          <w:p>
            <w:pPr>
              <w:pStyle w:val="Style21"/>
              <w:snapToGrid w:val="false"/>
              <w:spacing w:lineRule="atLeast" w:line="450" w:before="0" w:after="0"/>
              <w:jc w:val="center"/>
              <w:rPr>
                <w:rFonts w:hint="eastAsia"/>
                <w:sz w:val="21"/>
                <w:szCs w:val="21"/>
              </w:rPr>
            </w:pPr>
            <w:r>
              <w:rPr>
                <w:rFonts w:cs="宋体;SimSun" w:hint="eastAsia"/>
                <w:sz w:val="21"/>
                <w:szCs w:val="21"/>
              </w:rPr>
            </w:r>
          </w:p>
        </w:tc>
        <w:tc>
          <w:tcPr>
            <w:tcW w:w="3855" w:type="dxa"/>
            <w:tcBorders>
              <w:top w:val="single" w:sz="6" w:space="0" w:color="999999"/>
              <w:start w:val="single" w:sz="6" w:space="0" w:color="999999"/>
              <w:bottom w:val="single" w:sz="6" w:space="0" w:color="999999"/>
              <w:end w:val="single" w:sz="6" w:space="0" w:color="999999"/>
            </w:tcBorders>
            <w:vAlign w:val="center"/>
          </w:tcPr>
          <w:p>
            <w:pPr>
              <w:pStyle w:val="Style21"/>
              <w:spacing w:lineRule="atLeast" w:line="450" w:before="0" w:after="0"/>
              <w:jc w:val="center"/>
              <w:rPr>
                <w:rFonts w:hint="eastAsia"/>
                <w:sz w:val="21"/>
                <w:szCs w:val="21"/>
              </w:rPr>
            </w:pPr>
            <w:r>
              <w:rPr>
                <w:rFonts w:hint="eastAsia"/>
                <w:sz w:val="21"/>
                <w:szCs w:val="21"/>
              </w:rPr>
              <w:t>教育心理学</w:t>
            </w:r>
          </w:p>
        </w:tc>
        <w:tc>
          <w:tcPr>
            <w:tcW w:w="3762" w:type="dxa"/>
            <w:tcBorders>
              <w:top w:val="single" w:sz="6" w:space="0" w:color="999999"/>
              <w:start w:val="single" w:sz="6" w:space="0" w:color="999999"/>
              <w:bottom w:val="single" w:sz="6" w:space="0" w:color="999999"/>
              <w:end w:val="single" w:sz="6" w:space="0" w:color="999999"/>
            </w:tcBorders>
            <w:vAlign w:val="center"/>
          </w:tcPr>
          <w:p>
            <w:pPr>
              <w:pStyle w:val="Style21"/>
              <w:snapToGrid w:val="false"/>
              <w:spacing w:lineRule="atLeast" w:line="450" w:before="0" w:after="0"/>
              <w:jc w:val="center"/>
              <w:rPr>
                <w:rFonts w:hint="eastAsia"/>
                <w:sz w:val="21"/>
                <w:szCs w:val="21"/>
              </w:rPr>
            </w:pPr>
            <w:r>
              <w:rPr>
                <w:rFonts w:hint="eastAsia"/>
                <w:sz w:val="21"/>
                <w:szCs w:val="21"/>
              </w:rPr>
            </w:r>
          </w:p>
        </w:tc>
      </w:tr>
    </w:tbl>
    <w:p>
      <w:pPr>
        <w:pStyle w:val="Style21"/>
        <w:spacing w:lineRule="exact" w:line="500" w:before="100" w:after="100"/>
        <w:contextualSpacing/>
        <w:jc w:val="center"/>
        <w:rPr>
          <w:rFonts w:hint="eastAsia"/>
          <w:sz w:val="21"/>
          <w:szCs w:val="21"/>
        </w:rPr>
      </w:pPr>
      <w:r>
        <w:rPr>
          <w:rFonts w:hint="eastAsia"/>
          <w:sz w:val="21"/>
          <w:szCs w:val="21"/>
        </w:rPr>
        <w:t>注：具体请参照实际教学</w:t>
      </w:r>
    </w:p>
    <w:p>
      <w:pPr>
        <w:pStyle w:val="Style21"/>
        <w:spacing w:lineRule="exact" w:line="500" w:before="100" w:after="100"/>
        <w:contextualSpacing/>
        <w:jc w:val="both"/>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21"/>
        <w:spacing w:lineRule="auto" w:line="360" w:before="100" w:after="100"/>
        <w:ind w:firstLine="420" w:end="0"/>
        <w:contextualSpacing/>
        <w:rPr>
          <w:rFonts w:hint="eastAsia"/>
          <w:sz w:val="21"/>
          <w:szCs w:val="21"/>
        </w:rPr>
      </w:pPr>
      <w:r>
        <w:rPr>
          <w:rFonts w:hint="eastAsia"/>
          <w:sz w:val="21"/>
          <w:szCs w:val="21"/>
        </w:rPr>
        <w:t>1.</w:t>
      </w:r>
      <w:r>
        <w:rPr>
          <w:sz w:val="21"/>
          <w:szCs w:val="21"/>
        </w:rPr>
        <w:t>中国人民大学校内授课与线上授课相结合；</w:t>
      </w:r>
    </w:p>
    <w:p>
      <w:pPr>
        <w:pStyle w:val="Style21"/>
        <w:spacing w:lineRule="auto" w:line="360" w:before="100" w:after="100"/>
        <w:ind w:firstLine="420" w:end="0"/>
        <w:contextualSpacing/>
        <w:rPr>
          <w:sz w:val="21"/>
          <w:szCs w:val="21"/>
        </w:rPr>
      </w:pPr>
      <w:r>
        <w:rPr>
          <w:rFonts w:hint="eastAsia"/>
          <w:sz w:val="21"/>
          <w:szCs w:val="21"/>
        </w:rPr>
        <w:t>2.</w:t>
      </w:r>
      <w:r>
        <w:rPr>
          <w:sz w:val="21"/>
          <w:szCs w:val="21"/>
        </w:rPr>
        <w:t>实施案例教学，互动式讨论。</w:t>
      </w:r>
    </w:p>
    <w:p>
      <w:pPr>
        <w:pStyle w:val="Style21"/>
        <w:spacing w:lineRule="auto" w:line="360" w:before="100" w:after="100"/>
        <w:ind w:firstLine="420" w:end="0"/>
        <w:contextualSpacing/>
        <w:rPr>
          <w:sz w:val="21"/>
          <w:szCs w:val="21"/>
        </w:rPr>
      </w:pPr>
      <w:r>
        <w:rPr>
          <w:sz w:val="21"/>
          <w:szCs w:val="21"/>
        </w:rPr>
      </w:r>
    </w:p>
    <w:p>
      <w:pPr>
        <w:pStyle w:val="Style21"/>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21"/>
        <w:spacing w:lineRule="exact" w:line="500" w:before="100" w:after="100"/>
        <w:contextualSpacing/>
        <w:rPr>
          <w:sz w:val="21"/>
          <w:szCs w:val="21"/>
        </w:rPr>
      </w:pPr>
      <w:r>
        <w:rPr>
          <w:sz w:val="21"/>
          <w:szCs w:val="21"/>
        </w:rPr>
        <w:t>　　学习时间：</w:t>
      </w:r>
      <w:r>
        <w:rPr>
          <w:rFonts w:hint="eastAsia"/>
          <w:sz w:val="21"/>
          <w:szCs w:val="21"/>
        </w:rPr>
        <w:t>1-1.5</w:t>
      </w:r>
      <w:r>
        <w:rPr>
          <w:rFonts w:hint="eastAsia"/>
          <w:sz w:val="21"/>
          <w:szCs w:val="21"/>
        </w:rPr>
        <w:t>年</w:t>
      </w:r>
      <w:r>
        <w:rPr>
          <w:sz w:val="21"/>
          <w:szCs w:val="21"/>
        </w:rPr>
        <w:t>。</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五</w:t>
      </w:r>
      <w:r>
        <w:rPr>
          <w:b/>
          <w:color w:val="C00000"/>
          <w:sz w:val="21"/>
          <w:szCs w:val="21"/>
        </w:rPr>
        <w:t>、报名条件报名手续</w:t>
      </w:r>
    </w:p>
    <w:p>
      <w:pPr>
        <w:pStyle w:val="Style21"/>
        <w:spacing w:lineRule="exact" w:line="500" w:before="100" w:after="100"/>
        <w:contextualSpacing/>
        <w:rPr>
          <w:rFonts w:hint="eastAsia"/>
          <w:sz w:val="21"/>
          <w:szCs w:val="21"/>
        </w:rPr>
      </w:pPr>
      <w:r>
        <w:rPr>
          <w:sz w:val="21"/>
          <w:szCs w:val="21"/>
        </w:rPr>
        <w:t>　</w:t>
      </w:r>
      <w:r>
        <w:rPr>
          <w:rFonts w:hint="eastAsia"/>
          <w:sz w:val="21"/>
          <w:szCs w:val="21"/>
        </w:rPr>
        <w:t>报名条件：</w:t>
      </w:r>
    </w:p>
    <w:p>
      <w:pPr>
        <w:pStyle w:val="Style21"/>
        <w:spacing w:lineRule="auto" w:line="360" w:before="100" w:after="100"/>
        <w:ind w:firstLine="420" w:end="0"/>
        <w:contextualSpacing/>
        <w:rPr>
          <w:rFonts w:hint="eastAsia"/>
          <w:sz w:val="21"/>
          <w:szCs w:val="21"/>
        </w:rPr>
      </w:pPr>
      <w:r>
        <w:rPr>
          <w:rFonts w:hint="eastAsia"/>
          <w:sz w:val="21"/>
          <w:szCs w:val="21"/>
        </w:rPr>
        <w:t>1</w:t>
      </w:r>
      <w:r>
        <w:rPr>
          <w:rFonts w:hint="eastAsia"/>
          <w:sz w:val="21"/>
          <w:szCs w:val="21"/>
        </w:rPr>
        <w:t>、遵守国家法律、法规，品行端正，工作积极，身体健康并能坚持在职学习者。</w:t>
      </w:r>
    </w:p>
    <w:p>
      <w:pPr>
        <w:pStyle w:val="Style21"/>
        <w:spacing w:lineRule="auto" w:line="360" w:before="100" w:after="100"/>
        <w:ind w:firstLine="420" w:end="0"/>
        <w:contextualSpacing/>
        <w:rPr>
          <w:rFonts w:hint="eastAsia"/>
          <w:sz w:val="21"/>
          <w:szCs w:val="21"/>
        </w:rPr>
      </w:pPr>
      <w:r>
        <w:rPr>
          <w:rFonts w:hint="eastAsia"/>
          <w:sz w:val="21"/>
          <w:szCs w:val="21"/>
        </w:rPr>
        <w:t>2</w:t>
      </w:r>
      <w:r>
        <w:rPr>
          <w:rFonts w:hint="eastAsia"/>
          <w:sz w:val="21"/>
          <w:szCs w:val="21"/>
        </w:rPr>
        <w:t>、获得大专以上学历者，可报名参加培训班学习。</w:t>
      </w:r>
    </w:p>
    <w:p>
      <w:pPr>
        <w:pStyle w:val="Style21"/>
        <w:spacing w:lineRule="exact" w:line="500" w:before="100" w:after="100"/>
        <w:contextualSpacing/>
        <w:rPr>
          <w:sz w:val="21"/>
          <w:szCs w:val="21"/>
        </w:rPr>
      </w:pPr>
      <w:r>
        <w:rPr>
          <w:sz w:val="21"/>
          <w:szCs w:val="21"/>
        </w:rPr>
        <w:t>　报名手续：</w:t>
      </w:r>
    </w:p>
    <w:p>
      <w:pPr>
        <w:pStyle w:val="Style21"/>
        <w:spacing w:lineRule="auto" w:line="360" w:before="100" w:after="100"/>
        <w:ind w:firstLine="420" w:end="0"/>
        <w:contextualSpacing/>
        <w:rPr>
          <w:rFonts w:hint="eastAsia"/>
          <w:sz w:val="21"/>
          <w:szCs w:val="21"/>
        </w:rPr>
      </w:pPr>
      <w:r>
        <w:rPr>
          <w:rFonts w:hint="eastAsia"/>
          <w:sz w:val="21"/>
          <w:szCs w:val="21"/>
        </w:rPr>
        <w:t>1</w:t>
      </w:r>
      <w:r>
        <w:rPr>
          <w:rFonts w:hint="eastAsia"/>
          <w:sz w:val="21"/>
          <w:szCs w:val="21"/>
        </w:rPr>
        <w:t>、填写中国人民大学教育学院在职课程培训班报名登记表</w:t>
      </w:r>
    </w:p>
    <w:p>
      <w:pPr>
        <w:pStyle w:val="Style21"/>
        <w:spacing w:lineRule="auto" w:line="360" w:before="100" w:after="100"/>
        <w:ind w:firstLine="420" w:end="0"/>
        <w:contextualSpacing/>
        <w:rPr>
          <w:rFonts w:hint="eastAsia"/>
          <w:sz w:val="21"/>
          <w:szCs w:val="21"/>
        </w:rPr>
      </w:pPr>
      <w:r>
        <w:rPr>
          <w:rFonts w:hint="eastAsia"/>
          <w:sz w:val="21"/>
          <w:szCs w:val="21"/>
        </w:rPr>
        <w:t>2</w:t>
      </w:r>
      <w:r>
        <w:rPr>
          <w:rFonts w:hint="eastAsia"/>
          <w:sz w:val="21"/>
          <w:szCs w:val="21"/>
        </w:rPr>
        <w:t>、本人身份证、最后学历证书和学位证书原件及复印件各一份；</w:t>
      </w:r>
    </w:p>
    <w:p>
      <w:pPr>
        <w:pStyle w:val="Style21"/>
        <w:spacing w:lineRule="auto" w:line="360" w:before="100" w:after="100"/>
        <w:ind w:firstLine="420" w:end="0"/>
        <w:contextualSpacing/>
        <w:rPr>
          <w:rFonts w:hint="eastAsia"/>
          <w:sz w:val="21"/>
          <w:szCs w:val="21"/>
        </w:rPr>
      </w:pPr>
      <w:r>
        <w:rPr>
          <w:rFonts w:hint="eastAsia"/>
          <w:sz w:val="21"/>
          <w:szCs w:val="21"/>
        </w:rPr>
        <w:t>3</w:t>
      </w:r>
      <w:r>
        <w:rPr>
          <w:rFonts w:hint="eastAsia"/>
          <w:sz w:val="21"/>
          <w:szCs w:val="21"/>
        </w:rPr>
        <w:t>、本人近期正面免冠一寸彩色证件照</w:t>
      </w:r>
      <w:r>
        <w:rPr>
          <w:rFonts w:hint="eastAsia"/>
          <w:sz w:val="21"/>
          <w:szCs w:val="21"/>
        </w:rPr>
        <w:t>4</w:t>
      </w:r>
      <w:r>
        <w:rPr>
          <w:rFonts w:hint="eastAsia"/>
          <w:sz w:val="21"/>
          <w:szCs w:val="21"/>
        </w:rPr>
        <w:t>张、两寸彩色证件照</w:t>
      </w:r>
      <w:r>
        <w:rPr>
          <w:rFonts w:hint="eastAsia"/>
          <w:sz w:val="21"/>
          <w:szCs w:val="21"/>
        </w:rPr>
        <w:t>2</w:t>
      </w:r>
      <w:r>
        <w:rPr>
          <w:rFonts w:hint="eastAsia"/>
          <w:sz w:val="21"/>
          <w:szCs w:val="21"/>
        </w:rPr>
        <w:t>张（蓝底）</w:t>
      </w:r>
    </w:p>
    <w:p>
      <w:pPr>
        <w:pStyle w:val="Style21"/>
        <w:spacing w:lineRule="exact" w:line="500" w:before="100" w:after="100"/>
        <w:ind w:firstLineChars="0" w:firstLine="0" w:startChars="300" w:endChars="0" w:end="0"/>
        <w:contextualSpacing/>
        <w:rPr>
          <w:rFonts w:hint="eastAsia"/>
          <w:sz w:val="21"/>
          <w:szCs w:val="21"/>
        </w:rPr>
      </w:pPr>
      <w:r>
        <w:rPr>
          <w:rFonts w:hint="eastAsia"/>
          <w:sz w:val="21"/>
          <w:szCs w:val="21"/>
        </w:rPr>
      </w:r>
    </w:p>
    <w:p>
      <w:pPr>
        <w:pStyle w:val="Style21"/>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21"/>
        <w:spacing w:lineRule="exact" w:line="500" w:before="100" w:after="100"/>
        <w:contextualSpacing/>
        <w:rPr>
          <w:sz w:val="21"/>
          <w:szCs w:val="21"/>
        </w:rPr>
      </w:pPr>
      <w:r>
        <w:rPr>
          <w:sz w:val="21"/>
          <w:szCs w:val="21"/>
        </w:rPr>
        <w:t>　　在职课程培训班费用</w:t>
      </w:r>
      <w:r>
        <w:rPr>
          <w:rFonts w:hint="eastAsia"/>
          <w:sz w:val="21"/>
          <w:szCs w:val="21"/>
        </w:rPr>
        <w:t>380</w:t>
      </w:r>
      <w:r>
        <w:rPr>
          <w:sz w:val="21"/>
          <w:szCs w:val="21"/>
        </w:rPr>
        <w:t>00</w:t>
      </w:r>
      <w:r>
        <w:rPr>
          <w:sz w:val="21"/>
          <w:szCs w:val="21"/>
        </w:rPr>
        <w:t>元。</w:t>
      </w:r>
      <w:r>
        <w:rPr>
          <w:sz w:val="21"/>
          <w:szCs w:val="21"/>
        </w:rPr>
        <w:t>(</w:t>
      </w:r>
      <w:r>
        <w:rPr>
          <w:sz w:val="21"/>
          <w:szCs w:val="21"/>
        </w:rPr>
        <w:t>不含教材费</w:t>
      </w:r>
      <w:r>
        <w:rPr>
          <w:sz w:val="21"/>
          <w:szCs w:val="21"/>
        </w:rPr>
        <w:t>)</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21"/>
        <w:spacing w:lineRule="exact" w:line="500" w:before="100" w:after="100"/>
        <w:contextualSpacing/>
        <w:rPr>
          <w:sz w:val="21"/>
          <w:szCs w:val="21"/>
        </w:rPr>
      </w:pPr>
      <w:r>
        <w:rPr>
          <w:sz w:val="21"/>
          <w:szCs w:val="21"/>
        </w:rPr>
        <w:t>　　个人账户缴费：点击“人大培训网”发布简章的缴费链接，通过学校电子收费系统缴费。</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21"/>
        <w:spacing w:lineRule="exact" w:line="500" w:before="100" w:after="100"/>
        <w:ind w:firstLineChars="200" w:startChars="0" w:start="0" w:endChars="0" w:end="0"/>
        <w:contextualSpacing/>
        <w:rPr>
          <w:rFonts w:hint="eastAsia"/>
          <w:sz w:val="21"/>
          <w:szCs w:val="21"/>
        </w:rPr>
      </w:pPr>
      <w:r>
        <w:rPr>
          <w:sz w:val="21"/>
          <w:szCs w:val="21"/>
        </w:rPr>
        <w:t>完成培训班规定的课程，并参加结业考试合格者，经中国人民大学继续教育处审核通过，颁发在职课程培训班结业证书。</w:t>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2"/>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2026-12-28T10:36:00Z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7F0F4C6E10444F95BE53B2D815D8D10F_13</vt:lpwstr>
  </property>
  <property fmtid="{D5CDD505-2E9C-101B-9397-08002B2CF9AE}" pid="3" name="KSOProductBuildVer">
    <vt:lpwstr>2052-12.1.0.16120</vt:lpwstr>
  </property>
  <property fmtid="{D5CDD505-2E9C-101B-9397-08002B2CF9AE}" pid="4" name="commondata">
    <vt:lpwstr>eyJoZGlkIjoiNGQ5ODQ5N2Q1NmI0ZDAwYTJiMTcyMmU3ZjhhMWE4NmEifQ==</vt:lpwstr>
  </property>
</Properties>
</file>